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D2F72" w:rsidRPr="00FA412D" w:rsidRDefault="002356F0" w:rsidP="00FA412D">
      <w:pPr>
        <w:spacing w:after="12pt" w:line="20pt" w:lineRule="exact"/>
        <w:rPr>
          <w:rFonts w:ascii="標楷體" w:eastAsia="標楷體" w:hAnsi="標楷體"/>
          <w:bCs/>
          <w:sz w:val="30"/>
          <w:szCs w:val="30"/>
        </w:rPr>
      </w:pPr>
      <w:r w:rsidRPr="00FA412D">
        <w:rPr>
          <w:rFonts w:ascii="標楷體" w:eastAsia="標楷體" w:hAnsi="標楷體"/>
          <w:bCs/>
          <w:sz w:val="30"/>
          <w:szCs w:val="30"/>
        </w:rPr>
        <w:t>從事較高風險之行業申請</w:t>
      </w:r>
      <w:r w:rsidR="00FA412D" w:rsidRPr="00FA412D">
        <w:rPr>
          <w:rFonts w:ascii="標楷體" w:eastAsia="標楷體" w:hAnsi="標楷體" w:hint="eastAsia"/>
          <w:bCs/>
          <w:sz w:val="30"/>
          <w:szCs w:val="30"/>
        </w:rPr>
        <w:t>特定</w:t>
      </w:r>
      <w:r w:rsidRPr="00FA412D">
        <w:rPr>
          <w:rFonts w:ascii="標楷體" w:eastAsia="標楷體" w:hAnsi="標楷體"/>
          <w:bCs/>
          <w:sz w:val="30"/>
          <w:szCs w:val="30"/>
        </w:rPr>
        <w:t>工廠</w:t>
      </w:r>
      <w:r w:rsidR="00FA412D" w:rsidRPr="00FA412D">
        <w:rPr>
          <w:rFonts w:ascii="標楷體" w:eastAsia="標楷體" w:hAnsi="標楷體" w:hint="eastAsia"/>
          <w:bCs/>
          <w:sz w:val="30"/>
          <w:szCs w:val="30"/>
        </w:rPr>
        <w:t>(</w:t>
      </w:r>
      <w:r w:rsidRPr="00FA412D">
        <w:rPr>
          <w:rFonts w:ascii="標楷體" w:eastAsia="標楷體" w:hAnsi="標楷體"/>
          <w:bCs/>
          <w:sz w:val="30"/>
          <w:szCs w:val="30"/>
        </w:rPr>
        <w:t>變更</w:t>
      </w:r>
      <w:r w:rsidR="00FA412D" w:rsidRPr="00FA412D">
        <w:rPr>
          <w:rFonts w:ascii="標楷體" w:eastAsia="標楷體" w:hAnsi="標楷體" w:hint="eastAsia"/>
          <w:bCs/>
          <w:sz w:val="30"/>
          <w:szCs w:val="30"/>
        </w:rPr>
        <w:t>)</w:t>
      </w:r>
      <w:r w:rsidRPr="00FA412D">
        <w:rPr>
          <w:rFonts w:ascii="標楷體" w:eastAsia="標楷體" w:hAnsi="標楷體"/>
          <w:bCs/>
          <w:sz w:val="30"/>
          <w:szCs w:val="30"/>
        </w:rPr>
        <w:t>登記應</w:t>
      </w:r>
      <w:proofErr w:type="gramStart"/>
      <w:r w:rsidRPr="00FA412D">
        <w:rPr>
          <w:rFonts w:ascii="標楷體" w:eastAsia="標楷體" w:hAnsi="標楷體"/>
          <w:bCs/>
          <w:sz w:val="30"/>
          <w:szCs w:val="30"/>
        </w:rPr>
        <w:t>檢附書件</w:t>
      </w:r>
      <w:proofErr w:type="gramEnd"/>
      <w:r w:rsidRPr="00FA412D">
        <w:rPr>
          <w:rFonts w:ascii="標楷體" w:eastAsia="標楷體" w:hAnsi="標楷體"/>
          <w:bCs/>
          <w:sz w:val="30"/>
          <w:szCs w:val="30"/>
        </w:rPr>
        <w:t>之製造流程圖</w:t>
      </w:r>
    </w:p>
    <w:p w:rsidR="00CD2F72" w:rsidRDefault="002356F0">
      <w:pPr>
        <w:spacing w:line="16pt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一、製程</w:t>
      </w:r>
    </w:p>
    <w:p w:rsidR="00CD2F72" w:rsidRDefault="002356F0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1.說明：</w:t>
      </w: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start="30pt"/>
        <w:rPr>
          <w:rFonts w:ascii="標楷體" w:eastAsia="標楷體" w:hAnsi="標楷體"/>
          <w:sz w:val="28"/>
          <w:szCs w:val="28"/>
        </w:rPr>
      </w:pPr>
    </w:p>
    <w:p w:rsidR="00CD2F72" w:rsidRDefault="002356F0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2.製程描述(流程圖)：</w:t>
      </w: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8pt"/>
        <w:rPr>
          <w:rFonts w:ascii="標楷體" w:eastAsia="標楷體" w:hAnsi="標楷體"/>
          <w:sz w:val="28"/>
          <w:szCs w:val="28"/>
        </w:rPr>
      </w:pPr>
    </w:p>
    <w:p w:rsidR="00CD2F72" w:rsidRDefault="00CD2F72">
      <w:pPr>
        <w:spacing w:line="16pt" w:lineRule="exact"/>
        <w:ind w:firstLine="24pt"/>
      </w:pPr>
    </w:p>
    <w:p w:rsidR="00CD2F72" w:rsidRDefault="002356F0">
      <w:pPr>
        <w:spacing w:line="20pt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二、主要使用原料、月平均使用量及最大儲存量：</w:t>
      </w:r>
    </w:p>
    <w:tbl>
      <w:tblPr>
        <w:tblW w:w="468pt" w:type="dxa"/>
        <w:tblInd w:w="5.4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1800"/>
        <w:gridCol w:w="1980"/>
        <w:gridCol w:w="1980"/>
        <w:gridCol w:w="1620"/>
        <w:gridCol w:w="1980"/>
      </w:tblGrid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名稱</w:t>
            </w: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月平均使用量</w:t>
            </w: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20pt" w:lineRule="exac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最大儲存量</w:t>
            </w: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15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儲存方式</w:t>
            </w: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製程單元</w:t>
            </w: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D2F72" w:rsidRDefault="00CD2F72">
      <w:pPr>
        <w:spacing w:line="20pt" w:lineRule="exact"/>
        <w:rPr>
          <w:rFonts w:ascii="標楷體" w:eastAsia="標楷體" w:hAnsi="標楷體"/>
          <w:sz w:val="28"/>
          <w:szCs w:val="28"/>
        </w:rPr>
      </w:pPr>
    </w:p>
    <w:p w:rsidR="00CD2F72" w:rsidRDefault="002356F0">
      <w:pPr>
        <w:spacing w:line="16pt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三、機器或設備及數量：</w:t>
      </w:r>
    </w:p>
    <w:p w:rsidR="00CD2F72" w:rsidRDefault="00CD2F72">
      <w:pPr>
        <w:spacing w:line="20pt" w:lineRule="exact"/>
        <w:rPr>
          <w:rFonts w:ascii="標楷體" w:eastAsia="標楷體" w:hAnsi="標楷體"/>
          <w:sz w:val="28"/>
          <w:szCs w:val="28"/>
        </w:rPr>
      </w:pPr>
    </w:p>
    <w:tbl>
      <w:tblPr>
        <w:tblW w:w="468pt" w:type="dxa"/>
        <w:tblInd w:w="5.4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679"/>
        <w:gridCol w:w="3621"/>
        <w:gridCol w:w="3060"/>
      </w:tblGrid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分類</w:t>
            </w: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數量</w:t>
            </w: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危險性機械</w:t>
            </w: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危險性設備</w:t>
            </w: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一般機械設備</w:t>
            </w: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33.9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電力容量、熱能（合計）</w:t>
            </w:r>
          </w:p>
        </w:tc>
        <w:tc>
          <w:tcPr>
            <w:tcW w:w="181.0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spacing w:line="20pt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2F72" w:rsidRDefault="00CD2F72"/>
    <w:p w:rsidR="00CD2F72" w:rsidRDefault="00CD2F72"/>
    <w:p w:rsidR="00CD2F72" w:rsidRDefault="00CD2F72"/>
    <w:p w:rsidR="00CD2F72" w:rsidRDefault="002356F0">
      <w:pPr>
        <w:spacing w:line="20pt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四、主要產品、月平均產量及最大儲存量：</w:t>
      </w:r>
    </w:p>
    <w:tbl>
      <w:tblPr>
        <w:tblW w:w="459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3085"/>
        <w:gridCol w:w="2977"/>
        <w:gridCol w:w="3118"/>
      </w:tblGrid>
      <w:tr w:rsidR="00CD2F72">
        <w:tblPrEx>
          <w:tblCellMar>
            <w:top w:w="0pt" w:type="dxa"/>
            <w:bottom w:w="0pt" w:type="dxa"/>
          </w:tblCellMar>
        </w:tblPrEx>
        <w:tc>
          <w:tcPr>
            <w:tcW w:w="154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名稱</w:t>
            </w: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月平均產量</w:t>
            </w:r>
          </w:p>
        </w:tc>
        <w:tc>
          <w:tcPr>
            <w:tcW w:w="155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最大儲存量</w:t>
            </w: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54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bottom"/>
          </w:tcPr>
          <w:p w:rsidR="00CD2F72" w:rsidRDefault="00CD2F7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bottom"/>
          </w:tcPr>
          <w:p w:rsidR="00CD2F72" w:rsidRDefault="00CD2F7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bottom"/>
          </w:tcPr>
          <w:p w:rsidR="00CD2F72" w:rsidRDefault="00CD2F72">
            <w:pPr>
              <w:pStyle w:val="Default"/>
              <w:jc w:val="center"/>
              <w:rPr>
                <w:color w:val="auto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54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bottom"/>
          </w:tcPr>
          <w:p w:rsidR="00CD2F72" w:rsidRDefault="00CD2F7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bottom"/>
          </w:tcPr>
          <w:p w:rsidR="00CD2F72" w:rsidRDefault="00CD2F72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5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bottom"/>
          </w:tcPr>
          <w:p w:rsidR="00CD2F72" w:rsidRDefault="00CD2F72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54.2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bottom"/>
          </w:tcPr>
          <w:p w:rsidR="00CD2F72" w:rsidRDefault="00CD2F72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48.8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bottom"/>
          </w:tcPr>
          <w:p w:rsidR="00CD2F72" w:rsidRDefault="00CD2F72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55.9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  <w:vAlign w:val="bottom"/>
          </w:tcPr>
          <w:p w:rsidR="00CD2F72" w:rsidRDefault="00CD2F72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</w:tr>
    </w:tbl>
    <w:p w:rsidR="00CD2F72" w:rsidRDefault="00CD2F72"/>
    <w:p w:rsidR="00CD2F72" w:rsidRDefault="002356F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五、可能涉及達管制量之危險物品：</w:t>
      </w:r>
    </w:p>
    <w:tbl>
      <w:tblPr>
        <w:tblW w:w="473.40pt" w:type="dxa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2988"/>
        <w:gridCol w:w="2700"/>
        <w:gridCol w:w="3780"/>
      </w:tblGrid>
      <w:tr w:rsidR="00CD2F72">
        <w:tblPrEx>
          <w:tblCellMar>
            <w:top w:w="0pt" w:type="dxa"/>
            <w:bottom w:w="0pt" w:type="dxa"/>
          </w:tblCellMar>
        </w:tblPrEx>
        <w:tc>
          <w:tcPr>
            <w:tcW w:w="14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管制量</w:t>
            </w:r>
          </w:p>
        </w:tc>
        <w:tc>
          <w:tcPr>
            <w:tcW w:w="18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2356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是否已向主管機關申報</w:t>
            </w: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4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4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4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4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4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4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4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D2F72">
        <w:tblPrEx>
          <w:tblCellMar>
            <w:top w:w="0pt" w:type="dxa"/>
            <w:bottom w:w="0pt" w:type="dxa"/>
          </w:tblCellMar>
        </w:tblPrEx>
        <w:tc>
          <w:tcPr>
            <w:tcW w:w="149.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val="clear" w:color="auto" w:fill="auto"/>
            <w:tcMar>
              <w:top w:w="0pt" w:type="dxa"/>
              <w:start w:w="5.40pt" w:type="dxa"/>
              <w:bottom w:w="0pt" w:type="dxa"/>
              <w:end w:w="5.40pt" w:type="dxa"/>
            </w:tcMar>
          </w:tcPr>
          <w:p w:rsidR="00CD2F72" w:rsidRDefault="00CD2F7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D2F72" w:rsidRDefault="002356F0">
      <w:pPr>
        <w:spacing w:line="29pt" w:lineRule="exact"/>
      </w:pPr>
      <w:r>
        <w:rPr>
          <w:rFonts w:ascii="標楷體" w:eastAsia="標楷體" w:hAnsi="標楷體"/>
          <w:sz w:val="28"/>
          <w:szCs w:val="28"/>
        </w:rPr>
        <w:t>※填表說明1加侖＝3.785公升，1公噸＝1000公斤＝1000公升</w:t>
      </w:r>
    </w:p>
    <w:sectPr w:rsidR="00CD2F72">
      <w:footerReference w:type="default" r:id="rId6"/>
      <w:pgSz w:w="595.35pt" w:h="842pt"/>
      <w:pgMar w:top="73.15pt" w:right="56.70pt" w:bottom="70.90pt" w:left="56.70pt" w:header="42.55pt" w:footer="28.35pt" w:gutter="0pt"/>
      <w:cols w:space="36pt"/>
      <w:docGrid w:type="linesAndChars" w:linePitch="40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8C5E2F" w:rsidRDefault="008C5E2F">
      <w:r>
        <w:separator/>
      </w:r>
    </w:p>
  </w:endnote>
  <w:endnote w:type="continuationSeparator" w:id="0">
    <w:p w:rsidR="008C5E2F" w:rsidRDefault="008C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characterSet="Big5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characterSet="Big5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characterSet="iso-8859-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characterSet="Big5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2356F0" w:rsidRDefault="002356F0">
    <w:pPr>
      <w:pStyle w:val="a9"/>
      <w:jc w:val="center"/>
    </w:pPr>
    <w:r>
      <w:rPr>
        <w:rFonts w:ascii="標楷體" w:eastAsia="標楷體" w:hAnsi="標楷體"/>
      </w:rPr>
      <w:t>第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712E18">
      <w:rPr>
        <w:rStyle w:val="aa"/>
        <w:noProof/>
      </w:rPr>
      <w:t>1</w:t>
    </w:r>
    <w:r>
      <w:rPr>
        <w:rStyle w:val="aa"/>
      </w:rPr>
      <w:fldChar w:fldCharType="end"/>
    </w:r>
    <w:r>
      <w:rPr>
        <w:rFonts w:ascii="標楷體" w:eastAsia="標楷體" w:hAnsi="標楷體"/>
      </w:rPr>
      <w:t>頁，共3頁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8C5E2F" w:rsidRDefault="008C5E2F">
      <w:r>
        <w:rPr>
          <w:color w:val="000000"/>
        </w:rPr>
        <w:separator/>
      </w:r>
    </w:p>
  </w:footnote>
  <w:footnote w:type="continuationSeparator" w:id="0">
    <w:p w:rsidR="008C5E2F" w:rsidRDefault="008C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attachedTemplate r:id="rId1"/>
  <w:defaultTabStop w:val="24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F72"/>
    <w:rsid w:val="002356F0"/>
    <w:rsid w:val="00712E18"/>
    <w:rsid w:val="007471DA"/>
    <w:rsid w:val="008C5E2F"/>
    <w:rsid w:val="00CD2F72"/>
    <w:rsid w:val="00FA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28918E"/>
  <w15:chartTrackingRefBased/>
  <w15:docId w15:val="{2E3ECEB3-FE45-42C5-9ABA-598643B32DB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styleId="4">
    <w:name w:val="heading 4"/>
    <w:basedOn w:val="a"/>
    <w:next w:val="a"/>
    <w:pPr>
      <w:keepNext/>
      <w:spacing w:line="36pt" w:lineRule="auto"/>
      <w:outlineLvl w:val="3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4"/>
    <w:pPr>
      <w:spacing w:line="36pt" w:lineRule="atLeast"/>
      <w:ind w:start="32pt" w:hanging="32pt"/>
      <w:jc w:val="both"/>
    </w:pPr>
    <w:rPr>
      <w:rFonts w:ascii="標楷體" w:eastAsia="標楷體" w:hAnsi="標楷體"/>
      <w:b/>
      <w:sz w:val="28"/>
      <w:szCs w:val="32"/>
    </w:rPr>
  </w:style>
  <w:style w:type="paragraph" w:customStyle="1" w:styleId="2">
    <w:name w:val="樣式2"/>
    <w:basedOn w:val="4"/>
    <w:autoRedefine/>
    <w:pPr>
      <w:spacing w:line="36pt" w:lineRule="atLeast"/>
      <w:jc w:val="both"/>
    </w:pPr>
    <w:rPr>
      <w:rFonts w:eastAsia="標楷體"/>
      <w:b/>
      <w:sz w:val="28"/>
    </w:rPr>
  </w:style>
  <w:style w:type="paragraph" w:styleId="a3">
    <w:name w:val="Body Text"/>
    <w:basedOn w:val="a"/>
    <w:pPr>
      <w:snapToGrid w:val="0"/>
      <w:jc w:val="both"/>
    </w:pPr>
    <w:rPr>
      <w:rFonts w:ascii="標楷體" w:eastAsia="標楷體" w:hAnsi="標楷體"/>
      <w:sz w:val="36"/>
    </w:rPr>
  </w:style>
  <w:style w:type="paragraph" w:customStyle="1" w:styleId="a4">
    <w:name w:val="字元 字元 字元 字元 字元 字元 字元 字元"/>
    <w:basedOn w:val="a"/>
    <w:pPr>
      <w:widowControl/>
      <w:spacing w:after="8pt" w:line="12pt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paragraph" w:styleId="a6">
    <w:name w:val="List Paragraph"/>
    <w:basedOn w:val="a"/>
    <w:pPr>
      <w:ind w:start="24pt"/>
    </w:pPr>
    <w:rPr>
      <w:rFonts w:ascii="Calibri" w:hAnsi="Calibri"/>
      <w:szCs w:val="22"/>
    </w:rPr>
  </w:style>
  <w:style w:type="paragraph" w:styleId="a7">
    <w:name w:val="Body Text Indent"/>
    <w:basedOn w:val="a"/>
    <w:pPr>
      <w:spacing w:after="6pt"/>
      <w:ind w:start="24pt"/>
    </w:pPr>
  </w:style>
  <w:style w:type="paragraph" w:styleId="a8">
    <w:name w:val="head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paragraph" w:styleId="a9">
    <w:name w:val="footer"/>
    <w:basedOn w:val="a"/>
    <w:pPr>
      <w:tabs>
        <w:tab w:val="center" w:pos="207.65pt"/>
        <w:tab w:val="end" w:pos="415.30pt"/>
      </w:tabs>
      <w:snapToGrid w:val="0"/>
    </w:pPr>
    <w:rPr>
      <w:sz w:val="20"/>
      <w:szCs w:val="20"/>
    </w:rPr>
  </w:style>
  <w:style w:type="character" w:styleId="aa">
    <w:name w:val="page number"/>
    <w:basedOn w:val="a0"/>
  </w:style>
  <w:style w:type="paragraph" w:customStyle="1" w:styleId="ab">
    <w:name w:val="字元 字元 字元 字元 字元 字元 字元 字元 字元 字元"/>
    <w:basedOn w:val="a"/>
    <w:pPr>
      <w:widowControl/>
      <w:spacing w:after="8pt" w:line="12pt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c">
    <w:name w:val="字元 字元 字元 字元 字元 字元 字元 字元 字元 字元 字元"/>
    <w:basedOn w:val="a"/>
    <w:pPr>
      <w:widowControl/>
      <w:spacing w:after="8pt" w:line="12pt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textAlignment w:val="baseline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pPr>
      <w:widowControl/>
      <w:tabs>
        <w:tab w:val="start" w:pos="45.80pt"/>
        <w:tab w:val="start" w:pos="91.60pt"/>
        <w:tab w:val="start" w:pos="137.40pt"/>
        <w:tab w:val="start" w:pos="183.20pt"/>
        <w:tab w:val="start" w:pos="229pt"/>
        <w:tab w:val="start" w:pos="274.80pt"/>
        <w:tab w:val="start" w:pos="320.60pt"/>
        <w:tab w:val="start" w:pos="366.40pt"/>
        <w:tab w:val="start" w:pos="412.20pt"/>
        <w:tab w:val="start" w:pos="458pt"/>
        <w:tab w:val="start" w:pos="503.80pt"/>
        <w:tab w:val="start" w:pos="549.60pt"/>
        <w:tab w:val="start" w:pos="595.40pt"/>
        <w:tab w:val="start" w:pos="641.20pt"/>
        <w:tab w:val="start" w:pos="687pt"/>
        <w:tab w:val="start" w:pos="732.80pt"/>
      </w:tabs>
    </w:pPr>
    <w:rPr>
      <w:rFonts w:ascii="細明體" w:eastAsia="細明體" w:hAnsi="細明體" w:cs="細明體"/>
      <w:kern w:val="0"/>
      <w:lang w:bidi="hi-IN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研議配合行政院衛生署食品藥物管理局管理「食品添加物製造」，現行工廠登記對於主要產品登記作業方式應如何調整第1次會議會議紀錄</dc:title>
  <dc:subject/>
  <dc:creator>ac</dc:creator>
  <cp:keywords/>
  <cp:lastModifiedBy>user</cp:lastModifiedBy>
  <cp:revision>2</cp:revision>
  <cp:lastPrinted>2012-09-21T05:40:00Z</cp:lastPrinted>
  <dcterms:created xsi:type="dcterms:W3CDTF">2020-11-18T02:46:00Z</dcterms:created>
  <dcterms:modified xsi:type="dcterms:W3CDTF">2020-11-18T02:46:00Z</dcterms:modified>
</cp:coreProperties>
</file>