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A05F0" w14:textId="77777777" w:rsidR="00BE0FF0" w:rsidRDefault="00F16F0F">
      <w:pPr>
        <w:pStyle w:val="af"/>
        <w:rPr>
          <w:rFonts w:ascii="標楷體" w:eastAsia="標楷體" w:hAnsi="標楷體"/>
          <w:color w:val="000000"/>
          <w:spacing w:val="-5"/>
        </w:rPr>
      </w:pPr>
      <w:bookmarkStart w:id="0" w:name="_Hlk212738515"/>
      <w:r>
        <w:rPr>
          <w:rFonts w:ascii="標楷體" w:eastAsia="標楷體" w:hAnsi="標楷體"/>
          <w:color w:val="000000"/>
          <w:spacing w:val="-5"/>
        </w:rPr>
        <w:t>經濟部「非洲豬瘟</w:t>
      </w:r>
      <w:proofErr w:type="gramStart"/>
      <w:r>
        <w:rPr>
          <w:rFonts w:ascii="標楷體" w:eastAsia="標楷體" w:hAnsi="標楷體"/>
          <w:color w:val="000000"/>
          <w:spacing w:val="-5"/>
        </w:rPr>
        <w:t>禁宰期間</w:t>
      </w:r>
      <w:proofErr w:type="gramEnd"/>
      <w:r>
        <w:rPr>
          <w:rFonts w:ascii="標楷體" w:eastAsia="標楷體" w:hAnsi="標楷體"/>
          <w:color w:val="000000"/>
          <w:spacing w:val="-5"/>
        </w:rPr>
        <w:t>傳統市場豬肉攤商營業損失補助方案」</w:t>
      </w:r>
    </w:p>
    <w:p w14:paraId="5E02A120" w14:textId="77777777" w:rsidR="00BE0FF0" w:rsidRDefault="00F16F0F">
      <w:pPr>
        <w:pStyle w:val="4"/>
        <w:spacing w:after="120" w:line="500" w:lineRule="exact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t>補助作業及登記表</w:t>
      </w:r>
    </w:p>
    <w:p w14:paraId="25EC39C5" w14:textId="77777777" w:rsidR="00BE0FF0" w:rsidRDefault="00F16F0F">
      <w:pPr>
        <w:jc w:val="right"/>
        <w:rPr>
          <w:color w:val="000000"/>
        </w:rPr>
      </w:pPr>
      <w:r>
        <w:rPr>
          <w:color w:val="000000"/>
        </w:rPr>
        <w:t>114.11.3</w:t>
      </w:r>
    </w:p>
    <w:bookmarkEnd w:id="0"/>
    <w:p w14:paraId="7270F8AE" w14:textId="77777777" w:rsidR="00BE0FF0" w:rsidRDefault="00BE0FF0">
      <w:pPr>
        <w:pStyle w:val="a3"/>
        <w:rPr>
          <w:color w:val="000000"/>
        </w:rPr>
      </w:pPr>
    </w:p>
    <w:p w14:paraId="73011B4D" w14:textId="77777777" w:rsidR="00BE0FF0" w:rsidRDefault="00F16F0F">
      <w:pPr>
        <w:numPr>
          <w:ilvl w:val="0"/>
          <w:numId w:val="1"/>
        </w:numPr>
        <w:snapToGrid w:val="0"/>
        <w:spacing w:line="500" w:lineRule="exact"/>
        <w:ind w:left="709" w:hanging="709"/>
        <w:jc w:val="both"/>
      </w:pPr>
      <w:r>
        <w:rPr>
          <w:rFonts w:ascii="標楷體" w:eastAsia="標楷體" w:hAnsi="標楷體"/>
          <w:b/>
          <w:color w:val="000000"/>
          <w:sz w:val="28"/>
          <w:szCs w:val="32"/>
        </w:rPr>
        <w:t>目的：</w:t>
      </w:r>
      <w:r>
        <w:rPr>
          <w:rFonts w:ascii="標楷體" w:eastAsia="標楷體" w:hAnsi="標楷體"/>
          <w:color w:val="000000"/>
          <w:sz w:val="28"/>
          <w:szCs w:val="32"/>
        </w:rPr>
        <w:t>因應非洲豬瘟疫</w:t>
      </w:r>
      <w:proofErr w:type="gramStart"/>
      <w:r>
        <w:rPr>
          <w:rFonts w:ascii="標楷體" w:eastAsia="標楷體" w:hAnsi="標楷體"/>
          <w:color w:val="000000"/>
          <w:sz w:val="28"/>
          <w:szCs w:val="32"/>
        </w:rPr>
        <w:t>情禁宰</w:t>
      </w:r>
      <w:proofErr w:type="gramEnd"/>
      <w:r>
        <w:rPr>
          <w:rFonts w:ascii="標楷體" w:eastAsia="標楷體" w:hAnsi="標楷體"/>
          <w:color w:val="000000"/>
          <w:sz w:val="28"/>
          <w:szCs w:val="32"/>
        </w:rPr>
        <w:t>禁運對傳統市場豬肉攤商營運造成衝擊，協助</w:t>
      </w:r>
      <w:r>
        <w:rPr>
          <w:rFonts w:ascii="標楷體" w:eastAsia="標楷體" w:hAnsi="標楷體"/>
          <w:color w:val="000000"/>
          <w:sz w:val="28"/>
          <w:szCs w:val="32"/>
        </w:rPr>
        <w:t xml:space="preserve"> </w:t>
      </w:r>
    </w:p>
    <w:p w14:paraId="0C814EFD" w14:textId="77777777" w:rsidR="00BE0FF0" w:rsidRDefault="00F16F0F">
      <w:pPr>
        <w:snapToGrid w:val="0"/>
        <w:spacing w:line="500" w:lineRule="exact"/>
        <w:ind w:left="709"/>
        <w:jc w:val="both"/>
      </w:pPr>
      <w:r>
        <w:rPr>
          <w:rFonts w:ascii="標楷體" w:eastAsia="標楷體" w:hAnsi="標楷體"/>
          <w:b/>
          <w:color w:val="000000"/>
          <w:sz w:val="28"/>
          <w:szCs w:val="32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32"/>
        </w:rPr>
        <w:t>豬肉攤商度過停業</w:t>
      </w:r>
      <w:proofErr w:type="gramStart"/>
      <w:r>
        <w:rPr>
          <w:rFonts w:ascii="標楷體" w:eastAsia="標楷體" w:hAnsi="標楷體"/>
          <w:color w:val="000000"/>
          <w:sz w:val="28"/>
          <w:szCs w:val="32"/>
        </w:rPr>
        <w:t>期間，</w:t>
      </w:r>
      <w:proofErr w:type="gramEnd"/>
      <w:r>
        <w:rPr>
          <w:rFonts w:ascii="標楷體" w:eastAsia="標楷體" w:hAnsi="標楷體"/>
          <w:color w:val="000000"/>
          <w:sz w:val="28"/>
          <w:szCs w:val="32"/>
        </w:rPr>
        <w:t>穩定生計。</w:t>
      </w:r>
    </w:p>
    <w:p w14:paraId="57BFF6AE" w14:textId="77777777" w:rsidR="00BE0FF0" w:rsidRDefault="00F16F0F">
      <w:pPr>
        <w:numPr>
          <w:ilvl w:val="0"/>
          <w:numId w:val="1"/>
        </w:numPr>
        <w:snapToGrid w:val="0"/>
        <w:spacing w:before="120" w:line="500" w:lineRule="exact"/>
        <w:ind w:left="709" w:hanging="709"/>
        <w:jc w:val="both"/>
        <w:rPr>
          <w:rFonts w:ascii="標楷體" w:eastAsia="標楷體" w:hAnsi="標楷體"/>
          <w:b/>
          <w:color w:val="000000"/>
          <w:sz w:val="28"/>
          <w:szCs w:val="32"/>
        </w:rPr>
      </w:pPr>
      <w:bookmarkStart w:id="1" w:name="_Hlk212734443"/>
      <w:r>
        <w:rPr>
          <w:rFonts w:ascii="標楷體" w:eastAsia="標楷體" w:hAnsi="標楷體"/>
          <w:b/>
          <w:color w:val="000000"/>
          <w:sz w:val="28"/>
          <w:szCs w:val="32"/>
        </w:rPr>
        <w:t>受補助之對象及條件：</w:t>
      </w:r>
    </w:p>
    <w:p w14:paraId="7A6768F1" w14:textId="77777777" w:rsidR="00BE0FF0" w:rsidRDefault="00F16F0F">
      <w:pPr>
        <w:pStyle w:val="a8"/>
        <w:numPr>
          <w:ilvl w:val="0"/>
          <w:numId w:val="2"/>
        </w:numPr>
        <w:snapToGrid w:val="0"/>
        <w:spacing w:line="500" w:lineRule="exact"/>
        <w:ind w:left="1560" w:hanging="992"/>
        <w:jc w:val="both"/>
      </w:pPr>
      <w:r>
        <w:rPr>
          <w:rFonts w:ascii="標楷體" w:eastAsia="標楷體" w:hAnsi="標楷體"/>
          <w:color w:val="000000"/>
          <w:sz w:val="28"/>
          <w:szCs w:val="32"/>
        </w:rPr>
        <w:t>各直轄市、縣（市）政府或鄉（鎮、市、區）公所</w:t>
      </w:r>
      <w:r>
        <w:rPr>
          <w:rFonts w:ascii="標楷體" w:eastAsia="標楷體" w:hAnsi="標楷體"/>
          <w:b/>
          <w:bCs/>
          <w:color w:val="000000"/>
          <w:sz w:val="28"/>
          <w:szCs w:val="32"/>
          <w:u w:val="single"/>
        </w:rPr>
        <w:t>列管有案</w:t>
      </w:r>
      <w:r>
        <w:rPr>
          <w:rFonts w:ascii="標楷體" w:eastAsia="標楷體" w:hAnsi="標楷體"/>
          <w:color w:val="000000"/>
          <w:sz w:val="28"/>
          <w:szCs w:val="32"/>
        </w:rPr>
        <w:t>之公民有零售市場、攤販集中場，</w:t>
      </w:r>
      <w:r>
        <w:rPr>
          <w:rFonts w:ascii="標楷體" w:eastAsia="標楷體" w:hAnsi="標楷體"/>
          <w:b/>
          <w:bCs/>
          <w:color w:val="000000"/>
          <w:sz w:val="28"/>
          <w:szCs w:val="32"/>
          <w:u w:val="single"/>
        </w:rPr>
        <w:t>專營販售生鮮溫體豬肉</w:t>
      </w:r>
      <w:r>
        <w:rPr>
          <w:rFonts w:ascii="標楷體" w:eastAsia="標楷體" w:hAnsi="標楷體"/>
          <w:color w:val="000000"/>
          <w:sz w:val="28"/>
          <w:szCs w:val="32"/>
        </w:rPr>
        <w:t>之攤商。</w:t>
      </w:r>
    </w:p>
    <w:p w14:paraId="6C31EFCB" w14:textId="77777777" w:rsidR="00BE0FF0" w:rsidRDefault="00F16F0F">
      <w:pPr>
        <w:pStyle w:val="a8"/>
        <w:numPr>
          <w:ilvl w:val="0"/>
          <w:numId w:val="2"/>
        </w:numPr>
        <w:snapToGrid w:val="0"/>
        <w:spacing w:line="500" w:lineRule="exact"/>
        <w:ind w:left="1560" w:hanging="992"/>
        <w:jc w:val="both"/>
      </w:pPr>
      <w:r>
        <w:rPr>
          <w:rFonts w:ascii="標楷體" w:eastAsia="標楷體" w:hAnsi="標楷體"/>
          <w:color w:val="000000"/>
          <w:sz w:val="28"/>
          <w:szCs w:val="32"/>
        </w:rPr>
        <w:t>攤商有</w:t>
      </w:r>
      <w:r>
        <w:rPr>
          <w:rFonts w:ascii="標楷體" w:eastAsia="標楷體" w:hAnsi="標楷體"/>
          <w:b/>
          <w:bCs/>
          <w:color w:val="000000"/>
          <w:sz w:val="28"/>
          <w:szCs w:val="32"/>
          <w:u w:val="single"/>
        </w:rPr>
        <w:t>營業事實</w:t>
      </w:r>
      <w:r>
        <w:rPr>
          <w:rFonts w:ascii="標楷體" w:eastAsia="標楷體" w:hAnsi="標楷體"/>
          <w:color w:val="000000"/>
          <w:sz w:val="28"/>
          <w:szCs w:val="32"/>
        </w:rPr>
        <w:t>，並於國內非洲豬</w:t>
      </w:r>
      <w:proofErr w:type="gramStart"/>
      <w:r>
        <w:rPr>
          <w:rFonts w:ascii="標楷體" w:eastAsia="標楷體" w:hAnsi="標楷體"/>
          <w:color w:val="000000"/>
          <w:sz w:val="28"/>
          <w:szCs w:val="32"/>
        </w:rPr>
        <w:t>瘟疫情前即</w:t>
      </w:r>
      <w:proofErr w:type="gramEnd"/>
      <w:r>
        <w:rPr>
          <w:rFonts w:ascii="標楷體" w:eastAsia="標楷體" w:hAnsi="標楷體"/>
          <w:color w:val="000000"/>
          <w:sz w:val="28"/>
          <w:szCs w:val="32"/>
        </w:rPr>
        <w:t>在傳統市場內從事生鮮</w:t>
      </w:r>
      <w:r>
        <w:rPr>
          <w:rFonts w:ascii="標楷體" w:eastAsia="標楷體" w:hAnsi="標楷體"/>
          <w:bCs/>
          <w:color w:val="000000"/>
          <w:sz w:val="28"/>
          <w:szCs w:val="32"/>
        </w:rPr>
        <w:t>溫體</w:t>
      </w:r>
      <w:r>
        <w:rPr>
          <w:rFonts w:ascii="標楷體" w:eastAsia="標楷體" w:hAnsi="標楷體"/>
          <w:color w:val="000000"/>
          <w:sz w:val="28"/>
          <w:szCs w:val="32"/>
        </w:rPr>
        <w:t>豬肉販售者。</w:t>
      </w:r>
    </w:p>
    <w:p w14:paraId="52C91D88" w14:textId="77777777" w:rsidR="00BE0FF0" w:rsidRDefault="00F16F0F">
      <w:pPr>
        <w:pStyle w:val="a8"/>
        <w:numPr>
          <w:ilvl w:val="0"/>
          <w:numId w:val="2"/>
        </w:numPr>
        <w:tabs>
          <w:tab w:val="left" w:pos="2127"/>
        </w:tabs>
        <w:snapToGrid w:val="0"/>
        <w:spacing w:line="500" w:lineRule="exact"/>
        <w:ind w:left="1560" w:hanging="992"/>
        <w:jc w:val="both"/>
      </w:pPr>
      <w:r>
        <w:rPr>
          <w:rFonts w:ascii="標楷體" w:eastAsia="標楷體" w:hAnsi="標楷體"/>
          <w:color w:val="000000"/>
          <w:sz w:val="28"/>
          <w:szCs w:val="32"/>
        </w:rPr>
        <w:t>攤商於國內非洲豬</w:t>
      </w:r>
      <w:proofErr w:type="gramStart"/>
      <w:r>
        <w:rPr>
          <w:rFonts w:ascii="標楷體" w:eastAsia="標楷體" w:hAnsi="標楷體"/>
          <w:color w:val="000000"/>
          <w:sz w:val="28"/>
          <w:szCs w:val="32"/>
        </w:rPr>
        <w:t>瘟疫情後</w:t>
      </w:r>
      <w:proofErr w:type="gramEnd"/>
      <w:r>
        <w:rPr>
          <w:rFonts w:ascii="標楷體" w:eastAsia="標楷體" w:hAnsi="標楷體"/>
          <w:color w:val="000000"/>
          <w:sz w:val="28"/>
          <w:szCs w:val="32"/>
        </w:rPr>
        <w:t>，配合活體</w:t>
      </w:r>
      <w:proofErr w:type="gramStart"/>
      <w:r>
        <w:rPr>
          <w:rFonts w:ascii="標楷體" w:eastAsia="標楷體" w:hAnsi="標楷體"/>
          <w:color w:val="000000"/>
          <w:sz w:val="28"/>
          <w:szCs w:val="32"/>
        </w:rPr>
        <w:t>豬禁</w:t>
      </w:r>
      <w:proofErr w:type="gramEnd"/>
      <w:r>
        <w:rPr>
          <w:rFonts w:ascii="標楷體" w:eastAsia="標楷體" w:hAnsi="標楷體"/>
          <w:color w:val="000000"/>
          <w:sz w:val="28"/>
          <w:szCs w:val="32"/>
        </w:rPr>
        <w:t>宰禁運政策而</w:t>
      </w:r>
      <w:r>
        <w:rPr>
          <w:rFonts w:ascii="標楷體" w:eastAsia="標楷體" w:hAnsi="標楷體"/>
          <w:bCs/>
          <w:color w:val="000000"/>
          <w:sz w:val="28"/>
          <w:szCs w:val="32"/>
        </w:rPr>
        <w:t>暫停販售生鮮溫體豬肉</w:t>
      </w:r>
      <w:r>
        <w:rPr>
          <w:rFonts w:ascii="標楷體" w:eastAsia="標楷體" w:hAnsi="標楷體"/>
          <w:color w:val="000000"/>
          <w:sz w:val="28"/>
          <w:szCs w:val="32"/>
        </w:rPr>
        <w:t>造成損失者。</w:t>
      </w:r>
    </w:p>
    <w:bookmarkEnd w:id="1"/>
    <w:p w14:paraId="087EBBB5" w14:textId="77777777" w:rsidR="00BE0FF0" w:rsidRDefault="00F16F0F">
      <w:pPr>
        <w:numPr>
          <w:ilvl w:val="0"/>
          <w:numId w:val="1"/>
        </w:numPr>
        <w:snapToGrid w:val="0"/>
        <w:spacing w:before="120" w:line="500" w:lineRule="exact"/>
        <w:ind w:left="624" w:hanging="624"/>
        <w:jc w:val="both"/>
        <w:rPr>
          <w:rFonts w:ascii="標楷體" w:eastAsia="標楷體" w:hAnsi="標楷體"/>
          <w:b/>
          <w:color w:val="000000"/>
          <w:sz w:val="28"/>
          <w:szCs w:val="32"/>
        </w:rPr>
      </w:pPr>
      <w:r>
        <w:rPr>
          <w:rFonts w:ascii="標楷體" w:eastAsia="標楷體" w:hAnsi="標楷體"/>
          <w:b/>
          <w:color w:val="000000"/>
          <w:sz w:val="28"/>
          <w:szCs w:val="32"/>
        </w:rPr>
        <w:t>補助標準及金額：</w:t>
      </w:r>
    </w:p>
    <w:p w14:paraId="00F3C54E" w14:textId="77777777" w:rsidR="00BE0FF0" w:rsidRDefault="00F16F0F">
      <w:pPr>
        <w:pStyle w:val="a8"/>
        <w:numPr>
          <w:ilvl w:val="0"/>
          <w:numId w:val="3"/>
        </w:numPr>
        <w:tabs>
          <w:tab w:val="left" w:pos="2127"/>
        </w:tabs>
        <w:snapToGrid w:val="0"/>
        <w:spacing w:line="500" w:lineRule="exact"/>
        <w:ind w:left="1560" w:hanging="993"/>
        <w:jc w:val="both"/>
      </w:pPr>
      <w:r>
        <w:rPr>
          <w:rFonts w:ascii="標楷體" w:eastAsia="標楷體" w:hAnsi="標楷體"/>
          <w:color w:val="000000"/>
          <w:sz w:val="28"/>
          <w:szCs w:val="32"/>
        </w:rPr>
        <w:t>配合農業部公告</w:t>
      </w:r>
      <w:r>
        <w:rPr>
          <w:rFonts w:ascii="標楷體" w:eastAsia="標楷體" w:hAnsi="標楷體"/>
          <w:color w:val="000000"/>
          <w:sz w:val="28"/>
          <w:szCs w:val="32"/>
        </w:rPr>
        <w:t>114</w:t>
      </w:r>
      <w:r>
        <w:rPr>
          <w:rFonts w:ascii="標楷體" w:eastAsia="標楷體" w:hAnsi="標楷體"/>
          <w:color w:val="000000"/>
          <w:sz w:val="28"/>
          <w:szCs w:val="32"/>
        </w:rPr>
        <w:t>年</w:t>
      </w:r>
      <w:r>
        <w:rPr>
          <w:rFonts w:ascii="標楷體" w:eastAsia="標楷體" w:hAnsi="標楷體"/>
          <w:color w:val="000000"/>
          <w:sz w:val="28"/>
          <w:szCs w:val="32"/>
        </w:rPr>
        <w:t>10</w:t>
      </w:r>
      <w:r>
        <w:rPr>
          <w:rFonts w:ascii="標楷體" w:eastAsia="標楷體" w:hAnsi="標楷體"/>
          <w:color w:val="000000"/>
          <w:sz w:val="28"/>
          <w:szCs w:val="32"/>
        </w:rPr>
        <w:t>月</w:t>
      </w:r>
      <w:r>
        <w:rPr>
          <w:rFonts w:ascii="標楷體" w:eastAsia="標楷體" w:hAnsi="標楷體"/>
          <w:color w:val="000000"/>
          <w:sz w:val="28"/>
          <w:szCs w:val="32"/>
        </w:rPr>
        <w:t>22</w:t>
      </w:r>
      <w:r>
        <w:rPr>
          <w:rFonts w:ascii="標楷體" w:eastAsia="標楷體" w:hAnsi="標楷體"/>
          <w:color w:val="000000"/>
          <w:sz w:val="28"/>
          <w:szCs w:val="32"/>
        </w:rPr>
        <w:t>日中午</w:t>
      </w:r>
      <w:r>
        <w:rPr>
          <w:rFonts w:ascii="標楷體" w:eastAsia="標楷體" w:hAnsi="標楷體"/>
          <w:color w:val="000000"/>
          <w:sz w:val="28"/>
          <w:szCs w:val="32"/>
        </w:rPr>
        <w:t>12</w:t>
      </w:r>
      <w:r>
        <w:rPr>
          <w:rFonts w:ascii="標楷體" w:eastAsia="標楷體" w:hAnsi="標楷體"/>
          <w:color w:val="000000"/>
          <w:sz w:val="28"/>
          <w:szCs w:val="32"/>
        </w:rPr>
        <w:t>時起，</w:t>
      </w:r>
      <w:proofErr w:type="gramStart"/>
      <w:r>
        <w:rPr>
          <w:rFonts w:ascii="標楷體" w:eastAsia="標楷體" w:hAnsi="標楷體"/>
          <w:color w:val="000000"/>
          <w:sz w:val="28"/>
          <w:szCs w:val="32"/>
        </w:rPr>
        <w:t>全國禁宰</w:t>
      </w:r>
      <w:proofErr w:type="gramEnd"/>
      <w:r>
        <w:rPr>
          <w:rFonts w:ascii="標楷體" w:eastAsia="標楷體" w:hAnsi="標楷體"/>
          <w:color w:val="000000"/>
          <w:sz w:val="28"/>
          <w:szCs w:val="32"/>
        </w:rPr>
        <w:t>、禁運</w:t>
      </w:r>
      <w:proofErr w:type="gramStart"/>
      <w:r>
        <w:rPr>
          <w:rFonts w:ascii="標楷體" w:eastAsia="標楷體" w:hAnsi="標楷體"/>
          <w:color w:val="000000"/>
          <w:sz w:val="28"/>
          <w:szCs w:val="32"/>
        </w:rPr>
        <w:t>活體豬至</w:t>
      </w:r>
      <w:r>
        <w:rPr>
          <w:rFonts w:ascii="標楷體" w:eastAsia="標楷體" w:hAnsi="標楷體"/>
          <w:color w:val="000000"/>
          <w:sz w:val="28"/>
          <w:szCs w:val="32"/>
        </w:rPr>
        <w:t>114</w:t>
      </w:r>
      <w:r>
        <w:rPr>
          <w:rFonts w:ascii="標楷體" w:eastAsia="標楷體" w:hAnsi="標楷體"/>
          <w:color w:val="000000"/>
          <w:sz w:val="28"/>
          <w:szCs w:val="32"/>
        </w:rPr>
        <w:t>年</w:t>
      </w:r>
      <w:r>
        <w:rPr>
          <w:rFonts w:ascii="標楷體" w:eastAsia="標楷體" w:hAnsi="標楷體"/>
          <w:color w:val="000000"/>
          <w:sz w:val="28"/>
          <w:szCs w:val="32"/>
        </w:rPr>
        <w:t>11</w:t>
      </w:r>
      <w:r>
        <w:rPr>
          <w:rFonts w:ascii="標楷體" w:eastAsia="標楷體" w:hAnsi="標楷體"/>
          <w:color w:val="000000"/>
          <w:sz w:val="28"/>
          <w:szCs w:val="32"/>
        </w:rPr>
        <w:t>月</w:t>
      </w:r>
      <w:r>
        <w:rPr>
          <w:rFonts w:ascii="標楷體" w:eastAsia="標楷體" w:hAnsi="標楷體"/>
          <w:color w:val="000000"/>
          <w:sz w:val="28"/>
          <w:szCs w:val="32"/>
        </w:rPr>
        <w:t>6</w:t>
      </w:r>
      <w:r>
        <w:rPr>
          <w:rFonts w:ascii="標楷體" w:eastAsia="標楷體" w:hAnsi="標楷體"/>
          <w:color w:val="000000"/>
          <w:sz w:val="28"/>
          <w:szCs w:val="32"/>
        </w:rPr>
        <w:t>日中午</w:t>
      </w:r>
      <w:r>
        <w:rPr>
          <w:rFonts w:ascii="標楷體" w:eastAsia="標楷體" w:hAnsi="標楷體"/>
          <w:color w:val="000000"/>
          <w:sz w:val="28"/>
          <w:szCs w:val="32"/>
        </w:rPr>
        <w:t>12</w:t>
      </w:r>
      <w:proofErr w:type="gramEnd"/>
      <w:r>
        <w:rPr>
          <w:rFonts w:ascii="標楷體" w:eastAsia="標楷體" w:hAnsi="標楷體"/>
          <w:color w:val="000000"/>
          <w:sz w:val="28"/>
          <w:szCs w:val="32"/>
        </w:rPr>
        <w:t>時止，總計</w:t>
      </w:r>
      <w:r>
        <w:rPr>
          <w:rFonts w:ascii="標楷體" w:eastAsia="標楷體" w:hAnsi="標楷體"/>
          <w:color w:val="000000"/>
          <w:sz w:val="28"/>
          <w:szCs w:val="32"/>
        </w:rPr>
        <w:t>15</w:t>
      </w:r>
      <w:r>
        <w:rPr>
          <w:rFonts w:ascii="標楷體" w:eastAsia="標楷體" w:hAnsi="標楷體"/>
          <w:color w:val="000000"/>
          <w:sz w:val="28"/>
          <w:szCs w:val="32"/>
        </w:rPr>
        <w:t>日。</w:t>
      </w:r>
    </w:p>
    <w:p w14:paraId="22E4FDCE" w14:textId="77777777" w:rsidR="00BE0FF0" w:rsidRDefault="00F16F0F">
      <w:pPr>
        <w:pStyle w:val="a8"/>
        <w:numPr>
          <w:ilvl w:val="0"/>
          <w:numId w:val="3"/>
        </w:numPr>
        <w:tabs>
          <w:tab w:val="left" w:pos="2127"/>
        </w:tabs>
        <w:snapToGrid w:val="0"/>
        <w:spacing w:line="500" w:lineRule="exact"/>
        <w:ind w:left="1560" w:hanging="993"/>
        <w:jc w:val="both"/>
      </w:pPr>
      <w:r>
        <w:rPr>
          <w:rFonts w:ascii="標楷體" w:eastAsia="標楷體" w:hAnsi="標楷體"/>
          <w:color w:val="000000"/>
          <w:sz w:val="28"/>
          <w:szCs w:val="32"/>
        </w:rPr>
        <w:t>於上述期間</w:t>
      </w:r>
      <w:r>
        <w:rPr>
          <w:rFonts w:ascii="標楷體" w:eastAsia="標楷體" w:hAnsi="標楷體"/>
          <w:bCs/>
          <w:color w:val="000000"/>
          <w:sz w:val="28"/>
          <w:szCs w:val="32"/>
        </w:rPr>
        <w:t>暫停販售生鮮溫體豬肉而造成營業損失者</w:t>
      </w:r>
      <w:r>
        <w:rPr>
          <w:rFonts w:ascii="標楷體" w:eastAsia="標楷體" w:hAnsi="標楷體"/>
          <w:color w:val="000000"/>
          <w:sz w:val="28"/>
          <w:szCs w:val="32"/>
        </w:rPr>
        <w:t>，每攤補助新臺幣</w:t>
      </w:r>
      <w:r>
        <w:rPr>
          <w:rFonts w:ascii="標楷體" w:eastAsia="標楷體" w:hAnsi="標楷體"/>
          <w:color w:val="000000"/>
          <w:sz w:val="28"/>
          <w:szCs w:val="28"/>
        </w:rPr>
        <w:t>（</w:t>
      </w:r>
      <w:r>
        <w:rPr>
          <w:rFonts w:ascii="標楷體" w:eastAsia="標楷體" w:hAnsi="標楷體"/>
          <w:color w:val="000000"/>
          <w:sz w:val="28"/>
          <w:szCs w:val="32"/>
        </w:rPr>
        <w:t>下同</w:t>
      </w:r>
      <w:r>
        <w:rPr>
          <w:rFonts w:ascii="標楷體" w:eastAsia="標楷體" w:hAnsi="標楷體"/>
          <w:color w:val="000000"/>
          <w:sz w:val="28"/>
          <w:szCs w:val="28"/>
        </w:rPr>
        <w:t>）</w:t>
      </w:r>
      <w:r>
        <w:rPr>
          <w:rFonts w:ascii="標楷體" w:eastAsia="標楷體" w:hAnsi="標楷體"/>
          <w:color w:val="000000"/>
          <w:sz w:val="28"/>
          <w:szCs w:val="32"/>
        </w:rPr>
        <w:t>3</w:t>
      </w:r>
      <w:r>
        <w:rPr>
          <w:rFonts w:ascii="標楷體" w:eastAsia="標楷體" w:hAnsi="標楷體"/>
          <w:color w:val="000000"/>
          <w:sz w:val="28"/>
          <w:szCs w:val="32"/>
        </w:rPr>
        <w:t>萬元整。</w:t>
      </w:r>
    </w:p>
    <w:p w14:paraId="45E991B7" w14:textId="77777777" w:rsidR="00BE0FF0" w:rsidRDefault="00F16F0F">
      <w:pPr>
        <w:numPr>
          <w:ilvl w:val="0"/>
          <w:numId w:val="1"/>
        </w:numPr>
        <w:snapToGrid w:val="0"/>
        <w:spacing w:before="120" w:line="500" w:lineRule="exact"/>
        <w:ind w:left="2552" w:hanging="2552"/>
        <w:jc w:val="both"/>
      </w:pPr>
      <w:r>
        <w:rPr>
          <w:rFonts w:ascii="標楷體" w:eastAsia="標楷體" w:hAnsi="標楷體"/>
          <w:b/>
          <w:color w:val="000000"/>
          <w:sz w:val="28"/>
          <w:szCs w:val="32"/>
        </w:rPr>
        <w:t>補助受理期間：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自禁宰禁運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期限解除後，由各直轄市、縣（市）政府受理攤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商登記並造冊，並於二個月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內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函送本部商業發展署（下稱本部商業署）。</w:t>
      </w:r>
    </w:p>
    <w:p w14:paraId="2C880292" w14:textId="77777777" w:rsidR="00BE0FF0" w:rsidRDefault="00F16F0F">
      <w:pPr>
        <w:numPr>
          <w:ilvl w:val="0"/>
          <w:numId w:val="1"/>
        </w:numPr>
        <w:snapToGrid w:val="0"/>
        <w:spacing w:before="120" w:line="500" w:lineRule="exact"/>
        <w:ind w:left="624" w:hanging="624"/>
        <w:jc w:val="both"/>
        <w:rPr>
          <w:rFonts w:ascii="標楷體" w:eastAsia="標楷體" w:hAnsi="標楷體"/>
          <w:b/>
          <w:color w:val="000000"/>
          <w:sz w:val="28"/>
          <w:szCs w:val="32"/>
        </w:rPr>
      </w:pPr>
      <w:r>
        <w:rPr>
          <w:rFonts w:ascii="標楷體" w:eastAsia="標楷體" w:hAnsi="標楷體"/>
          <w:b/>
          <w:color w:val="000000"/>
          <w:sz w:val="28"/>
          <w:szCs w:val="32"/>
        </w:rPr>
        <w:t>補助申請程序及核撥：</w:t>
      </w:r>
    </w:p>
    <w:p w14:paraId="78D7582D" w14:textId="77777777" w:rsidR="00BE0FF0" w:rsidRDefault="00F16F0F">
      <w:pPr>
        <w:pStyle w:val="a8"/>
        <w:numPr>
          <w:ilvl w:val="0"/>
          <w:numId w:val="4"/>
        </w:numPr>
        <w:tabs>
          <w:tab w:val="left" w:pos="1560"/>
          <w:tab w:val="left" w:pos="1701"/>
        </w:tabs>
        <w:snapToGrid w:val="0"/>
        <w:spacing w:before="120" w:line="500" w:lineRule="exact"/>
        <w:ind w:left="1560" w:hanging="851"/>
        <w:jc w:val="both"/>
      </w:pPr>
      <w:r>
        <w:rPr>
          <w:rFonts w:ascii="標楷體" w:eastAsia="標楷體" w:hAnsi="標楷體"/>
          <w:color w:val="000000"/>
          <w:sz w:val="28"/>
          <w:szCs w:val="32"/>
        </w:rPr>
        <w:t>由全國</w:t>
      </w:r>
      <w:r>
        <w:rPr>
          <w:rFonts w:ascii="標楷體" w:eastAsia="標楷體" w:hAnsi="標楷體"/>
          <w:color w:val="000000"/>
          <w:sz w:val="28"/>
          <w:szCs w:val="32"/>
        </w:rPr>
        <w:t>22</w:t>
      </w:r>
      <w:r>
        <w:rPr>
          <w:rFonts w:ascii="標楷體" w:eastAsia="標楷體" w:hAnsi="標楷體"/>
          <w:color w:val="000000"/>
          <w:sz w:val="28"/>
          <w:szCs w:val="32"/>
        </w:rPr>
        <w:t>直轄市、縣（市）政府彙整攤商申請資料，經審查後將符合資格之攤商，以市場為單位造冊，函送本部商業署辦理。</w:t>
      </w:r>
    </w:p>
    <w:p w14:paraId="785EBEF0" w14:textId="77777777" w:rsidR="00BE0FF0" w:rsidRDefault="00F16F0F">
      <w:pPr>
        <w:pStyle w:val="a8"/>
        <w:numPr>
          <w:ilvl w:val="0"/>
          <w:numId w:val="4"/>
        </w:numPr>
        <w:tabs>
          <w:tab w:val="left" w:pos="1560"/>
          <w:tab w:val="left" w:pos="1701"/>
        </w:tabs>
        <w:snapToGrid w:val="0"/>
        <w:spacing w:before="120" w:line="500" w:lineRule="exact"/>
        <w:ind w:left="1560" w:hanging="851"/>
        <w:jc w:val="both"/>
      </w:pPr>
      <w:r>
        <w:rPr>
          <w:rFonts w:ascii="標楷體" w:eastAsia="標楷體" w:hAnsi="標楷體"/>
          <w:color w:val="000000"/>
          <w:sz w:val="28"/>
          <w:szCs w:val="32"/>
        </w:rPr>
        <w:t>直轄市、縣（市）政府應檢附下列文件：</w:t>
      </w:r>
    </w:p>
    <w:p w14:paraId="65D0027C" w14:textId="77777777" w:rsidR="00BE0FF0" w:rsidRDefault="00F16F0F">
      <w:pPr>
        <w:pStyle w:val="a8"/>
        <w:numPr>
          <w:ilvl w:val="2"/>
          <w:numId w:val="1"/>
        </w:numPr>
        <w:tabs>
          <w:tab w:val="left" w:pos="-17586"/>
        </w:tabs>
        <w:snapToGrid w:val="0"/>
        <w:spacing w:before="120" w:line="500" w:lineRule="exact"/>
        <w:jc w:val="both"/>
      </w:pPr>
      <w:r>
        <w:rPr>
          <w:rFonts w:ascii="標楷體" w:eastAsia="標楷體" w:hAnsi="標楷體"/>
          <w:bCs/>
          <w:color w:val="000000"/>
          <w:sz w:val="28"/>
          <w:szCs w:val="32"/>
        </w:rPr>
        <w:t>傳統市場攤商清冊</w:t>
      </w:r>
      <w:r>
        <w:rPr>
          <w:rFonts w:ascii="標楷體" w:eastAsia="標楷體" w:hAnsi="標楷體"/>
          <w:color w:val="000000"/>
          <w:sz w:val="28"/>
          <w:szCs w:val="32"/>
        </w:rPr>
        <w:t>（附件一）。</w:t>
      </w:r>
    </w:p>
    <w:p w14:paraId="77FC2E47" w14:textId="77777777" w:rsidR="00BE0FF0" w:rsidRDefault="00F16F0F">
      <w:pPr>
        <w:pStyle w:val="a8"/>
        <w:numPr>
          <w:ilvl w:val="2"/>
          <w:numId w:val="1"/>
        </w:numPr>
        <w:tabs>
          <w:tab w:val="left" w:pos="-17586"/>
        </w:tabs>
        <w:snapToGrid w:val="0"/>
        <w:spacing w:before="120" w:line="500" w:lineRule="exact"/>
        <w:jc w:val="both"/>
        <w:rPr>
          <w:rFonts w:ascii="標楷體" w:eastAsia="標楷體" w:hAnsi="標楷體"/>
          <w:color w:val="000000"/>
          <w:sz w:val="28"/>
          <w:szCs w:val="32"/>
        </w:rPr>
      </w:pPr>
      <w:r>
        <w:rPr>
          <w:rFonts w:ascii="標楷體" w:eastAsia="標楷體" w:hAnsi="標楷體"/>
          <w:color w:val="000000"/>
          <w:sz w:val="28"/>
          <w:szCs w:val="32"/>
        </w:rPr>
        <w:t>豬肉攤商申請表（附件二）。</w:t>
      </w:r>
    </w:p>
    <w:p w14:paraId="208854D4" w14:textId="77777777" w:rsidR="00BE0FF0" w:rsidRDefault="00F16F0F">
      <w:pPr>
        <w:pStyle w:val="a8"/>
        <w:numPr>
          <w:ilvl w:val="2"/>
          <w:numId w:val="1"/>
        </w:numPr>
        <w:tabs>
          <w:tab w:val="left" w:pos="-17586"/>
        </w:tabs>
        <w:snapToGrid w:val="0"/>
        <w:spacing w:before="120" w:line="500" w:lineRule="exact"/>
        <w:jc w:val="both"/>
        <w:rPr>
          <w:rFonts w:ascii="標楷體" w:eastAsia="標楷體" w:hAnsi="標楷體"/>
          <w:color w:val="000000"/>
          <w:sz w:val="28"/>
          <w:szCs w:val="32"/>
        </w:rPr>
      </w:pPr>
      <w:r>
        <w:rPr>
          <w:rFonts w:ascii="標楷體" w:eastAsia="標楷體" w:hAnsi="標楷體"/>
          <w:color w:val="000000"/>
          <w:sz w:val="28"/>
          <w:szCs w:val="32"/>
        </w:rPr>
        <w:lastRenderedPageBreak/>
        <w:t>攤位營業照片或販售商品證明（附件三）。</w:t>
      </w:r>
    </w:p>
    <w:p w14:paraId="292B0662" w14:textId="77777777" w:rsidR="00BE0FF0" w:rsidRDefault="00F16F0F">
      <w:pPr>
        <w:pStyle w:val="a8"/>
        <w:numPr>
          <w:ilvl w:val="2"/>
          <w:numId w:val="1"/>
        </w:numPr>
        <w:tabs>
          <w:tab w:val="left" w:pos="-17586"/>
        </w:tabs>
        <w:snapToGrid w:val="0"/>
        <w:spacing w:before="120" w:line="500" w:lineRule="exact"/>
        <w:jc w:val="both"/>
      </w:pPr>
      <w:r>
        <w:rPr>
          <w:rFonts w:ascii="標楷體" w:eastAsia="標楷體" w:hAnsi="標楷體"/>
          <w:color w:val="000000"/>
          <w:sz w:val="28"/>
          <w:szCs w:val="32"/>
        </w:rPr>
        <w:t>攤位實際經營者帳戶及身分證影本（附件四）。</w:t>
      </w:r>
    </w:p>
    <w:p w14:paraId="72A0AE5F" w14:textId="77777777" w:rsidR="00BE0FF0" w:rsidRDefault="00F16F0F">
      <w:pPr>
        <w:pStyle w:val="a8"/>
        <w:numPr>
          <w:ilvl w:val="2"/>
          <w:numId w:val="1"/>
        </w:numPr>
        <w:tabs>
          <w:tab w:val="left" w:pos="-17586"/>
        </w:tabs>
        <w:snapToGrid w:val="0"/>
        <w:spacing w:before="120" w:line="500" w:lineRule="exact"/>
        <w:jc w:val="both"/>
        <w:rPr>
          <w:rFonts w:ascii="標楷體" w:eastAsia="標楷體" w:hAnsi="標楷體"/>
          <w:color w:val="000000"/>
          <w:sz w:val="28"/>
          <w:szCs w:val="32"/>
        </w:rPr>
      </w:pPr>
      <w:r>
        <w:rPr>
          <w:rFonts w:ascii="標楷體" w:eastAsia="標楷體" w:hAnsi="標楷體"/>
          <w:color w:val="000000"/>
          <w:sz w:val="28"/>
          <w:szCs w:val="32"/>
        </w:rPr>
        <w:t>申請</w:t>
      </w:r>
      <w:proofErr w:type="gramStart"/>
      <w:r>
        <w:rPr>
          <w:rFonts w:ascii="標楷體" w:eastAsia="標楷體" w:hAnsi="標楷體"/>
          <w:color w:val="000000"/>
          <w:sz w:val="28"/>
          <w:szCs w:val="32"/>
        </w:rPr>
        <w:t>攤商切結</w:t>
      </w:r>
      <w:proofErr w:type="gramEnd"/>
      <w:r>
        <w:rPr>
          <w:rFonts w:ascii="標楷體" w:eastAsia="標楷體" w:hAnsi="標楷體"/>
          <w:color w:val="000000"/>
          <w:sz w:val="28"/>
          <w:szCs w:val="32"/>
        </w:rPr>
        <w:t>書（附件五）</w:t>
      </w:r>
    </w:p>
    <w:p w14:paraId="194E6B60" w14:textId="77777777" w:rsidR="00BE0FF0" w:rsidRDefault="00F16F0F">
      <w:pPr>
        <w:pStyle w:val="a8"/>
        <w:numPr>
          <w:ilvl w:val="2"/>
          <w:numId w:val="1"/>
        </w:numPr>
        <w:tabs>
          <w:tab w:val="left" w:pos="-17586"/>
        </w:tabs>
        <w:snapToGrid w:val="0"/>
        <w:spacing w:before="120" w:line="500" w:lineRule="exact"/>
        <w:jc w:val="both"/>
        <w:rPr>
          <w:rFonts w:ascii="標楷體" w:eastAsia="標楷體" w:hAnsi="標楷體"/>
          <w:color w:val="000000"/>
          <w:sz w:val="28"/>
          <w:szCs w:val="32"/>
        </w:rPr>
      </w:pPr>
      <w:r>
        <w:rPr>
          <w:rFonts w:ascii="標楷體" w:eastAsia="標楷體" w:hAnsi="標楷體"/>
          <w:color w:val="000000"/>
          <w:sz w:val="28"/>
          <w:szCs w:val="32"/>
        </w:rPr>
        <w:t>領據（附件六）</w:t>
      </w:r>
    </w:p>
    <w:p w14:paraId="7079F4E6" w14:textId="77777777" w:rsidR="00BE0FF0" w:rsidRDefault="00F16F0F">
      <w:pPr>
        <w:pStyle w:val="a8"/>
        <w:numPr>
          <w:ilvl w:val="0"/>
          <w:numId w:val="4"/>
        </w:numPr>
        <w:tabs>
          <w:tab w:val="left" w:pos="3828"/>
        </w:tabs>
        <w:snapToGrid w:val="0"/>
        <w:spacing w:before="120" w:line="500" w:lineRule="exact"/>
        <w:ind w:left="1560" w:hanging="851"/>
        <w:jc w:val="both"/>
        <w:rPr>
          <w:rFonts w:ascii="標楷體" w:eastAsia="標楷體" w:hAnsi="標楷體"/>
          <w:color w:val="000000"/>
          <w:sz w:val="28"/>
          <w:szCs w:val="32"/>
        </w:rPr>
      </w:pPr>
      <w:r>
        <w:rPr>
          <w:rFonts w:ascii="標楷體" w:eastAsia="標楷體" w:hAnsi="標楷體"/>
          <w:color w:val="000000"/>
          <w:sz w:val="28"/>
          <w:szCs w:val="32"/>
        </w:rPr>
        <w:t>未依本須知之格式提供申請文件或文件缺漏，係屬文件不齊備，本部</w:t>
      </w:r>
      <w:proofErr w:type="gramStart"/>
      <w:r>
        <w:rPr>
          <w:rFonts w:ascii="標楷體" w:eastAsia="標楷體" w:hAnsi="標楷體"/>
          <w:color w:val="000000"/>
          <w:sz w:val="28"/>
          <w:szCs w:val="32"/>
        </w:rPr>
        <w:t>商業署得不予</w:t>
      </w:r>
      <w:proofErr w:type="gramEnd"/>
      <w:r>
        <w:rPr>
          <w:rFonts w:ascii="標楷體" w:eastAsia="標楷體" w:hAnsi="標楷體"/>
          <w:color w:val="000000"/>
          <w:sz w:val="28"/>
          <w:szCs w:val="32"/>
        </w:rPr>
        <w:t>受理；經審查如需補正者，得要求限期補正；無法補正或逾期未補正者，得駁回其申請。</w:t>
      </w:r>
    </w:p>
    <w:p w14:paraId="11B51025" w14:textId="77777777" w:rsidR="00BE0FF0" w:rsidRDefault="00F16F0F">
      <w:pPr>
        <w:pStyle w:val="a8"/>
        <w:numPr>
          <w:ilvl w:val="0"/>
          <w:numId w:val="4"/>
        </w:numPr>
        <w:tabs>
          <w:tab w:val="left" w:pos="3828"/>
        </w:tabs>
        <w:snapToGrid w:val="0"/>
        <w:spacing w:before="120" w:line="500" w:lineRule="exact"/>
        <w:ind w:left="1560" w:hanging="851"/>
        <w:jc w:val="both"/>
      </w:pPr>
      <w:r>
        <w:rPr>
          <w:rFonts w:ascii="標楷體" w:eastAsia="標楷體" w:hAnsi="標楷體"/>
          <w:color w:val="000000"/>
          <w:sz w:val="28"/>
          <w:szCs w:val="32"/>
        </w:rPr>
        <w:t>本部商業署就補助申請審核無誤後，補助款項將直接</w:t>
      </w:r>
      <w:proofErr w:type="gramStart"/>
      <w:r>
        <w:rPr>
          <w:rFonts w:ascii="標楷體" w:eastAsia="標楷體" w:hAnsi="標楷體"/>
          <w:color w:val="000000"/>
          <w:sz w:val="28"/>
          <w:szCs w:val="32"/>
        </w:rPr>
        <w:t>撥付予攤商</w:t>
      </w:r>
      <w:proofErr w:type="gramEnd"/>
      <w:r>
        <w:rPr>
          <w:rFonts w:ascii="標楷體" w:eastAsia="標楷體" w:hAnsi="標楷體"/>
          <w:color w:val="000000"/>
          <w:sz w:val="28"/>
          <w:szCs w:val="32"/>
        </w:rPr>
        <w:t>提供之金融帳戶。</w:t>
      </w:r>
    </w:p>
    <w:p w14:paraId="6A392731" w14:textId="77777777" w:rsidR="00BE0FF0" w:rsidRDefault="00F16F0F">
      <w:pPr>
        <w:numPr>
          <w:ilvl w:val="0"/>
          <w:numId w:val="1"/>
        </w:numPr>
        <w:snapToGrid w:val="0"/>
        <w:spacing w:before="120" w:line="500" w:lineRule="exact"/>
        <w:ind w:left="624" w:hanging="624"/>
        <w:jc w:val="both"/>
        <w:rPr>
          <w:rFonts w:ascii="標楷體" w:eastAsia="標楷體" w:hAnsi="標楷體"/>
          <w:b/>
          <w:color w:val="000000"/>
          <w:sz w:val="28"/>
          <w:szCs w:val="32"/>
        </w:rPr>
      </w:pPr>
      <w:r>
        <w:rPr>
          <w:rFonts w:ascii="標楷體" w:eastAsia="標楷體" w:hAnsi="標楷體"/>
          <w:b/>
          <w:color w:val="000000"/>
          <w:sz w:val="28"/>
          <w:szCs w:val="32"/>
        </w:rPr>
        <w:t>督導查核：</w:t>
      </w:r>
    </w:p>
    <w:p w14:paraId="2DA17525" w14:textId="77777777" w:rsidR="00BE0FF0" w:rsidRDefault="00F16F0F">
      <w:pPr>
        <w:pStyle w:val="a8"/>
        <w:numPr>
          <w:ilvl w:val="0"/>
          <w:numId w:val="5"/>
        </w:numPr>
        <w:tabs>
          <w:tab w:val="left" w:pos="3828"/>
        </w:tabs>
        <w:snapToGrid w:val="0"/>
        <w:spacing w:before="120" w:line="500" w:lineRule="exact"/>
        <w:ind w:left="1560" w:hanging="851"/>
        <w:jc w:val="both"/>
      </w:pPr>
      <w:r>
        <w:rPr>
          <w:rFonts w:ascii="標楷體" w:eastAsia="標楷體" w:hAnsi="標楷體"/>
          <w:color w:val="000000"/>
          <w:sz w:val="28"/>
          <w:szCs w:val="32"/>
        </w:rPr>
        <w:t>攤商及地方主管機關應確保補助申請內容之正確性，如有隱匿不實、造假、虛報、浮報或重複請領等情事（不同市場同一攤商者），本部</w:t>
      </w:r>
      <w:proofErr w:type="gramStart"/>
      <w:r>
        <w:rPr>
          <w:rFonts w:ascii="標楷體" w:eastAsia="標楷體" w:hAnsi="標楷體"/>
          <w:color w:val="000000"/>
          <w:sz w:val="28"/>
          <w:szCs w:val="32"/>
        </w:rPr>
        <w:t>商業署得駁回</w:t>
      </w:r>
      <w:proofErr w:type="gramEnd"/>
      <w:r>
        <w:rPr>
          <w:rFonts w:ascii="標楷體" w:eastAsia="標楷體" w:hAnsi="標楷體"/>
          <w:color w:val="000000"/>
          <w:sz w:val="28"/>
          <w:szCs w:val="32"/>
        </w:rPr>
        <w:t>其申請；已獲補助者，本部得撤銷補助，並追回已撥付之補助款及追究相關責任。</w:t>
      </w:r>
    </w:p>
    <w:p w14:paraId="2617C6F6" w14:textId="77777777" w:rsidR="00BE0FF0" w:rsidRDefault="00F16F0F">
      <w:pPr>
        <w:pStyle w:val="a8"/>
        <w:numPr>
          <w:ilvl w:val="0"/>
          <w:numId w:val="5"/>
        </w:numPr>
        <w:tabs>
          <w:tab w:val="left" w:pos="3828"/>
        </w:tabs>
        <w:snapToGrid w:val="0"/>
        <w:spacing w:before="120" w:line="500" w:lineRule="exact"/>
        <w:ind w:left="1560" w:hanging="851"/>
        <w:jc w:val="both"/>
      </w:pPr>
      <w:r>
        <w:rPr>
          <w:rFonts w:ascii="標楷體" w:eastAsia="標楷體" w:hAnsi="標楷體"/>
          <w:color w:val="000000"/>
          <w:sz w:val="28"/>
          <w:szCs w:val="32"/>
        </w:rPr>
        <w:t>獲得補助之攤商須在傳統市場內持續營業中，本部得派員隨機至現場督導查核，如發現攤商已歇業或更換販售</w:t>
      </w:r>
      <w:proofErr w:type="gramStart"/>
      <w:r>
        <w:rPr>
          <w:rFonts w:ascii="標楷體" w:eastAsia="標楷體" w:hAnsi="標楷體"/>
          <w:color w:val="000000"/>
          <w:sz w:val="28"/>
          <w:szCs w:val="32"/>
        </w:rPr>
        <w:t>業種者</w:t>
      </w:r>
      <w:proofErr w:type="gramEnd"/>
      <w:r>
        <w:rPr>
          <w:rFonts w:ascii="標楷體" w:eastAsia="標楷體" w:hAnsi="標楷體"/>
          <w:color w:val="000000"/>
          <w:sz w:val="28"/>
          <w:szCs w:val="32"/>
        </w:rPr>
        <w:t>，得追回已撥付之補助款。</w:t>
      </w:r>
      <w:bookmarkStart w:id="2" w:name="_GoBack"/>
      <w:bookmarkEnd w:id="2"/>
    </w:p>
    <w:sectPr w:rsidR="00BE0FF0" w:rsidSect="000F51E2">
      <w:headerReference w:type="default" r:id="rId7"/>
      <w:footerReference w:type="default" r:id="rId8"/>
      <w:endnotePr>
        <w:numFmt w:val="decimal"/>
      </w:endnotePr>
      <w:pgSz w:w="11906" w:h="16838"/>
      <w:pgMar w:top="1440" w:right="851" w:bottom="12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DAA84" w14:textId="77777777" w:rsidR="00F16F0F" w:rsidRDefault="00F16F0F">
      <w:r>
        <w:separator/>
      </w:r>
    </w:p>
  </w:endnote>
  <w:endnote w:type="continuationSeparator" w:id="0">
    <w:p w14:paraId="756AA24F" w14:textId="77777777" w:rsidR="00F16F0F" w:rsidRDefault="00F1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雅真標準楷書">
    <w:altName w:val="Calibri"/>
    <w:charset w:val="00"/>
    <w:family w:val="modern"/>
    <w:pitch w:val="fixed"/>
  </w:font>
  <w:font w:name="Noto Sans Mono CJK JP Regular">
    <w:charset w:val="00"/>
    <w:family w:val="swiss"/>
    <w:pitch w:val="variable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18400" w14:textId="77777777" w:rsidR="00F02A22" w:rsidRDefault="00F16F0F">
    <w:pPr>
      <w:pStyle w:val="a4"/>
      <w:jc w:val="center"/>
    </w:pPr>
    <w:r>
      <w:rPr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8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頁，共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>
      <w:rPr>
        <w:kern w:val="0"/>
      </w:rPr>
      <w:t>8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F4F0A" w14:textId="77777777" w:rsidR="00F16F0F" w:rsidRDefault="00F16F0F">
      <w:r>
        <w:rPr>
          <w:color w:val="000000"/>
        </w:rPr>
        <w:separator/>
      </w:r>
    </w:p>
  </w:footnote>
  <w:footnote w:type="continuationSeparator" w:id="0">
    <w:p w14:paraId="556235C3" w14:textId="77777777" w:rsidR="00F16F0F" w:rsidRDefault="00F1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FBC8B" w14:textId="77777777" w:rsidR="00F02A22" w:rsidRDefault="00F02A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17DE"/>
    <w:multiLevelType w:val="multilevel"/>
    <w:tmpl w:val="C6ECE4DC"/>
    <w:lvl w:ilvl="0">
      <w:start w:val="1"/>
      <w:numFmt w:val="taiwaneseCountingThousand"/>
      <w:suff w:val="nothing"/>
      <w:lvlText w:val="%1、"/>
      <w:lvlJc w:val="left"/>
      <w:pPr>
        <w:ind w:left="2099" w:hanging="397"/>
      </w:pPr>
      <w:rPr>
        <w:rFonts w:ascii="標楷體" w:eastAsia="標楷體" w:hAnsi="標楷體"/>
        <w:b w:val="0"/>
        <w:sz w:val="28"/>
        <w:szCs w:val="28"/>
        <w:lang w:val="en-US"/>
      </w:rPr>
    </w:lvl>
    <w:lvl w:ilvl="1">
      <w:start w:val="1"/>
      <w:numFmt w:val="taiwaneseCountingThousand"/>
      <w:lvlText w:val="（%2）"/>
      <w:lvlJc w:val="left"/>
      <w:pPr>
        <w:ind w:left="1952" w:hanging="990"/>
      </w:pPr>
      <w:rPr>
        <w:rFonts w:ascii="Calibri" w:eastAsia="標楷體" w:hAnsi="Calibri"/>
        <w:b/>
        <w:bCs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1920" w:hanging="360"/>
      </w:pPr>
      <w:rPr>
        <w:rFonts w:ascii="Calibri" w:hAnsi="Calibri" w:cs="Calibri"/>
        <w:sz w:val="28"/>
        <w:szCs w:val="28"/>
      </w:r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2D67C81"/>
    <w:multiLevelType w:val="multilevel"/>
    <w:tmpl w:val="5A1E891E"/>
    <w:lvl w:ilvl="0">
      <w:start w:val="1"/>
      <w:numFmt w:val="taiwaneseCountingThousand"/>
      <w:lvlText w:val="（%1）"/>
      <w:lvlJc w:val="left"/>
      <w:pPr>
        <w:ind w:left="1189" w:hanging="480"/>
      </w:pPr>
      <w:rPr>
        <w:rFonts w:ascii="標楷體" w:eastAsia="標楷體" w:hAnsi="標楷體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25F13CFA"/>
    <w:multiLevelType w:val="multilevel"/>
    <w:tmpl w:val="E8D27F7A"/>
    <w:lvl w:ilvl="0">
      <w:start w:val="1"/>
      <w:numFmt w:val="taiwaneseCountingThousand"/>
      <w:lvlText w:val="(%1)"/>
      <w:lvlJc w:val="left"/>
      <w:pPr>
        <w:ind w:left="802" w:hanging="480"/>
      </w:pPr>
      <w:rPr>
        <w:rFonts w:ascii="標楷體" w:eastAsia="標楷體" w:hAnsi="標楷體"/>
        <w:b/>
        <w:bCs/>
        <w:strike w:val="0"/>
        <w:dstrike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82" w:hanging="480"/>
      </w:pPr>
    </w:lvl>
    <w:lvl w:ilvl="2">
      <w:start w:val="1"/>
      <w:numFmt w:val="lowerRoman"/>
      <w:lvlText w:val="%3."/>
      <w:lvlJc w:val="right"/>
      <w:pPr>
        <w:ind w:left="1762" w:hanging="480"/>
      </w:pPr>
    </w:lvl>
    <w:lvl w:ilvl="3">
      <w:start w:val="1"/>
      <w:numFmt w:val="decimal"/>
      <w:lvlText w:val="%4."/>
      <w:lvlJc w:val="left"/>
      <w:pPr>
        <w:ind w:left="2242" w:hanging="480"/>
      </w:pPr>
    </w:lvl>
    <w:lvl w:ilvl="4">
      <w:start w:val="1"/>
      <w:numFmt w:val="ideographTraditional"/>
      <w:lvlText w:val="%5、"/>
      <w:lvlJc w:val="left"/>
      <w:pPr>
        <w:ind w:left="2722" w:hanging="480"/>
      </w:pPr>
    </w:lvl>
    <w:lvl w:ilvl="5">
      <w:start w:val="1"/>
      <w:numFmt w:val="lowerRoman"/>
      <w:lvlText w:val="%6."/>
      <w:lvlJc w:val="right"/>
      <w:pPr>
        <w:ind w:left="3202" w:hanging="480"/>
      </w:pPr>
    </w:lvl>
    <w:lvl w:ilvl="6">
      <w:start w:val="1"/>
      <w:numFmt w:val="decimal"/>
      <w:lvlText w:val="%7."/>
      <w:lvlJc w:val="left"/>
      <w:pPr>
        <w:ind w:left="3682" w:hanging="480"/>
      </w:pPr>
    </w:lvl>
    <w:lvl w:ilvl="7">
      <w:start w:val="1"/>
      <w:numFmt w:val="ideographTraditional"/>
      <w:lvlText w:val="%8、"/>
      <w:lvlJc w:val="left"/>
      <w:pPr>
        <w:ind w:left="4162" w:hanging="480"/>
      </w:pPr>
    </w:lvl>
    <w:lvl w:ilvl="8">
      <w:start w:val="1"/>
      <w:numFmt w:val="lowerRoman"/>
      <w:lvlText w:val="%9."/>
      <w:lvlJc w:val="right"/>
      <w:pPr>
        <w:ind w:left="4642" w:hanging="480"/>
      </w:pPr>
    </w:lvl>
  </w:abstractNum>
  <w:abstractNum w:abstractNumId="3" w15:restartNumberingAfterBreak="0">
    <w:nsid w:val="556667AE"/>
    <w:multiLevelType w:val="multilevel"/>
    <w:tmpl w:val="731A2F4E"/>
    <w:lvl w:ilvl="0">
      <w:start w:val="1"/>
      <w:numFmt w:val="taiwaneseCountingThousand"/>
      <w:lvlText w:val="（%1）"/>
      <w:lvlJc w:val="left"/>
      <w:pPr>
        <w:ind w:left="1189" w:hanging="480"/>
      </w:pPr>
      <w:rPr>
        <w:rFonts w:ascii="標楷體" w:eastAsia="標楷體" w:hAnsi="標楷體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4" w15:restartNumberingAfterBreak="0">
    <w:nsid w:val="5DB000D6"/>
    <w:multiLevelType w:val="multilevel"/>
    <w:tmpl w:val="92987A7E"/>
    <w:lvl w:ilvl="0">
      <w:start w:val="1"/>
      <w:numFmt w:val="taiwaneseCountingThousand"/>
      <w:lvlText w:val="(%1)"/>
      <w:lvlJc w:val="left"/>
      <w:pPr>
        <w:ind w:left="802" w:hanging="480"/>
      </w:pPr>
      <w:rPr>
        <w:rFonts w:ascii="標楷體" w:eastAsia="標楷體" w:hAnsi="標楷體"/>
        <w:b/>
        <w:bCs/>
        <w:strike w:val="0"/>
        <w:dstrike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82" w:hanging="480"/>
      </w:pPr>
    </w:lvl>
    <w:lvl w:ilvl="2">
      <w:start w:val="1"/>
      <w:numFmt w:val="lowerRoman"/>
      <w:lvlText w:val="%3."/>
      <w:lvlJc w:val="right"/>
      <w:pPr>
        <w:ind w:left="1762" w:hanging="480"/>
      </w:pPr>
    </w:lvl>
    <w:lvl w:ilvl="3">
      <w:start w:val="1"/>
      <w:numFmt w:val="decimal"/>
      <w:lvlText w:val="%4."/>
      <w:lvlJc w:val="left"/>
      <w:pPr>
        <w:ind w:left="2242" w:hanging="480"/>
      </w:pPr>
    </w:lvl>
    <w:lvl w:ilvl="4">
      <w:start w:val="1"/>
      <w:numFmt w:val="ideographTraditional"/>
      <w:lvlText w:val="%5、"/>
      <w:lvlJc w:val="left"/>
      <w:pPr>
        <w:ind w:left="2722" w:hanging="480"/>
      </w:pPr>
    </w:lvl>
    <w:lvl w:ilvl="5">
      <w:start w:val="1"/>
      <w:numFmt w:val="lowerRoman"/>
      <w:lvlText w:val="%6."/>
      <w:lvlJc w:val="right"/>
      <w:pPr>
        <w:ind w:left="3202" w:hanging="480"/>
      </w:pPr>
    </w:lvl>
    <w:lvl w:ilvl="6">
      <w:start w:val="1"/>
      <w:numFmt w:val="decimal"/>
      <w:lvlText w:val="%7."/>
      <w:lvlJc w:val="left"/>
      <w:pPr>
        <w:ind w:left="3682" w:hanging="480"/>
      </w:pPr>
    </w:lvl>
    <w:lvl w:ilvl="7">
      <w:start w:val="1"/>
      <w:numFmt w:val="ideographTraditional"/>
      <w:lvlText w:val="%8、"/>
      <w:lvlJc w:val="left"/>
      <w:pPr>
        <w:ind w:left="4162" w:hanging="480"/>
      </w:pPr>
    </w:lvl>
    <w:lvl w:ilvl="8">
      <w:start w:val="1"/>
      <w:numFmt w:val="lowerRoman"/>
      <w:lvlText w:val="%9."/>
      <w:lvlJc w:val="right"/>
      <w:pPr>
        <w:ind w:left="4642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FF0"/>
    <w:rsid w:val="000F51E2"/>
    <w:rsid w:val="006B5937"/>
    <w:rsid w:val="00BE0FF0"/>
    <w:rsid w:val="00E50B42"/>
    <w:rsid w:val="00F02A22"/>
    <w:rsid w:val="00F16F0F"/>
    <w:rsid w:val="00F3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3D540"/>
  <w15:docId w15:val="{B3A6B4CF-35D5-4B64-B4AF-7A9E1E05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uiPriority w:val="9"/>
    <w:qFormat/>
    <w:pPr>
      <w:autoSpaceDE w:val="0"/>
      <w:spacing w:line="335" w:lineRule="exact"/>
      <w:ind w:left="963"/>
      <w:outlineLvl w:val="0"/>
    </w:pPr>
    <w:rPr>
      <w:rFonts w:ascii="Noto Sans CJK JP Regular" w:eastAsia="Noto Sans CJK JP Regular" w:hAnsi="Noto Sans CJK JP Regular" w:cs="Noto Sans CJK JP Regular"/>
      <w:kern w:val="0"/>
      <w:sz w:val="27"/>
      <w:szCs w:val="27"/>
      <w:lang w:eastAsia="en-US"/>
    </w:rPr>
  </w:style>
  <w:style w:type="paragraph" w:styleId="4">
    <w:name w:val="heading 4"/>
    <w:basedOn w:val="a"/>
    <w:next w:val="a"/>
    <w:uiPriority w:val="9"/>
    <w:unhideWhenUsed/>
    <w:qFormat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字元 字元2 字元 字元 字元"/>
    <w:basedOn w:val="a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字元 字元1 字元 字元 字元 字元 字元 字元"/>
    <w:basedOn w:val="a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character" w:styleId="a5">
    <w:name w:val="page number"/>
    <w:basedOn w:val="a0"/>
  </w:style>
  <w:style w:type="paragraph" w:styleId="a6">
    <w:name w:val="Body Text"/>
    <w:basedOn w:val="a"/>
    <w:pPr>
      <w:spacing w:line="0" w:lineRule="atLeast"/>
    </w:pPr>
    <w:rPr>
      <w:rFonts w:eastAsia="雅真標準楷書"/>
      <w:b/>
      <w:sz w:val="36"/>
      <w:szCs w:val="20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paragraph" w:styleId="a8">
    <w:name w:val="List Paragraph"/>
    <w:basedOn w:val="a"/>
    <w:pPr>
      <w:ind w:left="480"/>
    </w:pPr>
  </w:style>
  <w:style w:type="paragraph" w:customStyle="1" w:styleId="20">
    <w:name w:val="字元 字元2 字元 字元 字元"/>
    <w:basedOn w:val="a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character" w:customStyle="1" w:styleId="11">
    <w:name w:val="標題 1 字元"/>
    <w:basedOn w:val="a0"/>
    <w:rPr>
      <w:rFonts w:ascii="Noto Sans CJK JP Regular" w:eastAsia="Noto Sans CJK JP Regular" w:hAnsi="Noto Sans CJK JP Regular" w:cs="Noto Sans CJK JP Regular"/>
      <w:sz w:val="27"/>
      <w:szCs w:val="27"/>
      <w:lang w:eastAsia="en-US"/>
    </w:rPr>
  </w:style>
  <w:style w:type="paragraph" w:customStyle="1" w:styleId="TableParagraph">
    <w:name w:val="Table Paragraph"/>
    <w:basedOn w:val="a"/>
    <w:pPr>
      <w:autoSpaceDE w:val="0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eastAsia="en-US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a9">
    <w:name w:val="註解方塊文字 字元"/>
    <w:basedOn w:val="a0"/>
    <w:rPr>
      <w:rFonts w:ascii="Arial" w:hAnsi="Arial"/>
      <w:kern w:val="3"/>
      <w:sz w:val="18"/>
      <w:szCs w:val="18"/>
    </w:rPr>
  </w:style>
  <w:style w:type="character" w:customStyle="1" w:styleId="40">
    <w:name w:val="標題 4 字元"/>
    <w:basedOn w:val="a0"/>
    <w:rPr>
      <w:rFonts w:ascii="Calibri Light" w:eastAsia="新細明體" w:hAnsi="Calibri Light" w:cs="Times New Roman"/>
      <w:kern w:val="3"/>
      <w:sz w:val="36"/>
      <w:szCs w:val="36"/>
    </w:rPr>
  </w:style>
  <w:style w:type="paragraph" w:styleId="aa">
    <w:name w:val="Salutation"/>
    <w:basedOn w:val="a"/>
    <w:next w:val="a"/>
    <w:rPr>
      <w:rFonts w:ascii="標楷體" w:eastAsia="標楷體" w:hAnsi="標楷體"/>
      <w:color w:val="000000"/>
      <w:sz w:val="32"/>
      <w:szCs w:val="32"/>
    </w:rPr>
  </w:style>
  <w:style w:type="character" w:customStyle="1" w:styleId="ab">
    <w:name w:val="問候 字元"/>
    <w:basedOn w:val="a0"/>
    <w:rPr>
      <w:rFonts w:ascii="標楷體" w:eastAsia="標楷體" w:hAnsi="標楷體"/>
      <w:color w:val="000000"/>
      <w:kern w:val="3"/>
      <w:sz w:val="32"/>
      <w:szCs w:val="32"/>
    </w:rPr>
  </w:style>
  <w:style w:type="paragraph" w:styleId="ac">
    <w:name w:val="Closing"/>
    <w:basedOn w:val="a"/>
    <w:pPr>
      <w:ind w:left="100"/>
    </w:pPr>
    <w:rPr>
      <w:rFonts w:ascii="標楷體" w:eastAsia="標楷體" w:hAnsi="標楷體"/>
      <w:color w:val="000000"/>
      <w:sz w:val="32"/>
      <w:szCs w:val="32"/>
    </w:rPr>
  </w:style>
  <w:style w:type="character" w:customStyle="1" w:styleId="ad">
    <w:name w:val="結語 字元"/>
    <w:basedOn w:val="a0"/>
    <w:rPr>
      <w:rFonts w:ascii="標楷體" w:eastAsia="標楷體" w:hAnsi="標楷體"/>
      <w:color w:val="000000"/>
      <w:kern w:val="3"/>
      <w:sz w:val="32"/>
      <w:szCs w:val="32"/>
    </w:rPr>
  </w:style>
  <w:style w:type="paragraph" w:customStyle="1" w:styleId="21">
    <w:name w:val="字元 字元2 字元 字元 字元"/>
    <w:basedOn w:val="a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22">
    <w:name w:val="字元 字元2 字元 字元 字元"/>
    <w:basedOn w:val="a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Standard">
    <w:name w:val="Standard"/>
    <w:pPr>
      <w:widowControl w:val="0"/>
      <w:suppressAutoHyphens/>
      <w:spacing w:after="160" w:line="276" w:lineRule="auto"/>
    </w:pPr>
    <w:rPr>
      <w:rFonts w:ascii="Aptos" w:hAnsi="Aptos"/>
      <w:kern w:val="3"/>
      <w:sz w:val="24"/>
      <w:szCs w:val="24"/>
    </w:rPr>
  </w:style>
  <w:style w:type="character" w:customStyle="1" w:styleId="ae">
    <w:name w:val="頁尾 字元"/>
    <w:basedOn w:val="a0"/>
    <w:rPr>
      <w:kern w:val="3"/>
    </w:rPr>
  </w:style>
  <w:style w:type="paragraph" w:styleId="af">
    <w:name w:val="Title"/>
    <w:basedOn w:val="a"/>
    <w:uiPriority w:val="10"/>
    <w:qFormat/>
    <w:pPr>
      <w:autoSpaceDE w:val="0"/>
      <w:spacing w:before="28"/>
      <w:ind w:right="202"/>
      <w:jc w:val="center"/>
    </w:pPr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character" w:customStyle="1" w:styleId="af0">
    <w:name w:val="標題 字元"/>
    <w:basedOn w:val="a0"/>
    <w:rPr>
      <w:rFonts w:ascii="微軟正黑體" w:eastAsia="微軟正黑體" w:hAnsi="微軟正黑體" w:cs="微軟正黑體"/>
      <w:b/>
      <w:bCs/>
      <w:sz w:val="32"/>
      <w:szCs w:val="32"/>
    </w:rPr>
  </w:style>
  <w:style w:type="character" w:customStyle="1" w:styleId="af1">
    <w:name w:val="頁首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「振興經濟擴大公共建設投資計畫」-「傳統零售市場更新改善計畫」補助公有市場及攤販集中場設置固定式冷凍櫃、展示櫃之設施要點</dc:title>
  <dc:creator>debbie</dc:creator>
  <cp:lastModifiedBy>游忠健</cp:lastModifiedBy>
  <cp:revision>2</cp:revision>
  <cp:lastPrinted>2025-11-05T03:58:00Z</cp:lastPrinted>
  <dcterms:created xsi:type="dcterms:W3CDTF">2025-11-11T05:39:00Z</dcterms:created>
  <dcterms:modified xsi:type="dcterms:W3CDTF">2025-11-11T05:39:00Z</dcterms:modified>
</cp:coreProperties>
</file>