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E3436" w:rsidRDefault="00E87C5B" w:rsidP="00153096">
      <w:pPr>
        <w:pStyle w:val="ab"/>
        <w:numPr>
          <w:ilvl w:val="0"/>
          <w:numId w:val="7"/>
        </w:numPr>
        <w:spacing w:line="240" w:lineRule="atLeast"/>
        <w:jc w:val="both"/>
      </w:pPr>
      <w:bookmarkStart w:id="0" w:name="_GoBack"/>
      <w:bookmarkEnd w:id="0"/>
      <w:r>
        <w:rPr>
          <w:rFonts w:ascii="標楷體" w:eastAsia="標楷體" w:hAnsi="標楷體"/>
          <w:sz w:val="36"/>
        </w:rPr>
        <w:t>捐助章程範例</w:t>
      </w:r>
    </w:p>
    <w:p w:rsidR="000E3436" w:rsidRDefault="00E87C5B" w:rsidP="00C56A6A">
      <w:pPr>
        <w:pStyle w:val="ab"/>
        <w:spacing w:beforeLines="100" w:before="240" w:line="360" w:lineRule="exact"/>
        <w:jc w:val="center"/>
      </w:pPr>
      <w:r>
        <w:rPr>
          <w:rFonts w:ascii="華康粗圓體" w:eastAsia="標楷體" w:hAnsi="華康粗圓體"/>
          <w:b/>
          <w:bCs/>
          <w:sz w:val="36"/>
        </w:rPr>
        <w:t>財團法人</w:t>
      </w:r>
      <w:proofErr w:type="gramStart"/>
      <w:r>
        <w:rPr>
          <w:rFonts w:ascii="華康粗圓體" w:eastAsia="標楷體" w:hAnsi="華康粗圓體"/>
          <w:b/>
          <w:bCs/>
          <w:color w:val="000000"/>
          <w:sz w:val="36"/>
        </w:rPr>
        <w:t>臺</w:t>
      </w:r>
      <w:proofErr w:type="gramEnd"/>
      <w:r>
        <w:rPr>
          <w:rFonts w:ascii="華康粗圓體" w:eastAsia="標楷體" w:hAnsi="華康粗圓體"/>
          <w:b/>
          <w:bCs/>
          <w:color w:val="000000"/>
          <w:sz w:val="36"/>
        </w:rPr>
        <w:t>中</w:t>
      </w:r>
      <w:r w:rsidR="00C56A6A">
        <w:rPr>
          <w:rFonts w:ascii="華康粗圓體" w:eastAsia="標楷體" w:hAnsi="華康粗圓體" w:hint="eastAsia"/>
          <w:b/>
          <w:bCs/>
          <w:color w:val="000000"/>
          <w:sz w:val="36"/>
        </w:rPr>
        <w:t>市○○</w:t>
      </w:r>
      <w:r>
        <w:rPr>
          <w:rFonts w:ascii="標楷體" w:eastAsia="標楷體" w:hAnsi="標楷體"/>
          <w:b/>
          <w:bCs/>
          <w:sz w:val="36"/>
        </w:rPr>
        <w:t>○○</w:t>
      </w:r>
      <w:r>
        <w:rPr>
          <w:rFonts w:ascii="華康粗圓體" w:eastAsia="標楷體" w:hAnsi="華康粗圓體"/>
          <w:b/>
          <w:bCs/>
          <w:sz w:val="36"/>
        </w:rPr>
        <w:t>基金會捐助章程</w:t>
      </w: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b/>
          <w:bCs/>
          <w:sz w:val="30"/>
        </w:rPr>
      </w:pPr>
    </w:p>
    <w:p w:rsidR="000E3436" w:rsidRDefault="00E87C5B" w:rsidP="00326D33">
      <w:pPr>
        <w:pStyle w:val="ab"/>
        <w:spacing w:line="240" w:lineRule="atLeast"/>
        <w:ind w:left="1830" w:hanging="1830"/>
      </w:pPr>
      <w:r>
        <w:rPr>
          <w:rFonts w:ascii="標楷體" w:eastAsia="標楷體" w:hAnsi="標楷體"/>
          <w:sz w:val="30"/>
        </w:rPr>
        <w:t>第　一　條  本基金會依財團法人法暨</w:t>
      </w:r>
      <w:proofErr w:type="gramStart"/>
      <w:r>
        <w:rPr>
          <w:rFonts w:ascii="標楷體" w:eastAsia="標楷體" w:hAnsi="標楷體"/>
          <w:sz w:val="30"/>
        </w:rPr>
        <w:t>臺</w:t>
      </w:r>
      <w:proofErr w:type="gramEnd"/>
      <w:r>
        <w:rPr>
          <w:rFonts w:ascii="標楷體" w:eastAsia="標楷體" w:hAnsi="標楷體"/>
          <w:sz w:val="30"/>
        </w:rPr>
        <w:t>中市經濟事務財團法人設立許可及監督辦法組織之，定名為「財團法人臺中市○○○○基金會」（以下簡稱本會）。</w:t>
      </w:r>
      <w:r>
        <w:rPr>
          <w:rFonts w:ascii="新細明體" w:eastAsia="新細明體" w:hAnsi="新細明體"/>
          <w:color w:val="808080"/>
        </w:rPr>
        <w:t>（依據、定名）</w:t>
      </w:r>
    </w:p>
    <w:p w:rsidR="000E3436" w:rsidRDefault="00E87C5B" w:rsidP="00301FAE">
      <w:pPr>
        <w:pStyle w:val="ab"/>
        <w:spacing w:beforeLines="50" w:before="120" w:line="240" w:lineRule="atLeast"/>
        <w:ind w:left="1831" w:hanging="1831"/>
      </w:pPr>
      <w:r>
        <w:rPr>
          <w:rFonts w:ascii="標楷體" w:eastAsia="標楷體" w:hAnsi="標楷體"/>
          <w:sz w:val="30"/>
        </w:rPr>
        <w:t>第　二　條　本會以○○○○○○為宗旨，依有關法令規定辦理下列業務：</w:t>
      </w:r>
      <w:r>
        <w:rPr>
          <w:rFonts w:ascii="新細明體" w:eastAsia="新細明體" w:hAnsi="新細明體"/>
          <w:color w:val="808080"/>
        </w:rPr>
        <w:t>（宗旨、業務範圍）</w:t>
      </w:r>
    </w:p>
    <w:p w:rsidR="000E3436" w:rsidRDefault="00E87C5B">
      <w:pPr>
        <w:pStyle w:val="ab"/>
        <w:spacing w:line="240" w:lineRule="atLeast"/>
        <w:ind w:firstLine="1800"/>
      </w:pPr>
      <w:r>
        <w:rPr>
          <w:rFonts w:ascii="標楷體" w:eastAsia="標楷體" w:hAnsi="標楷體"/>
          <w:sz w:val="30"/>
        </w:rPr>
        <w:t>一、○○○○○○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 w:cs="標楷體"/>
          <w:sz w:val="30"/>
        </w:rPr>
        <w:t xml:space="preserve">            </w:t>
      </w:r>
      <w:r>
        <w:rPr>
          <w:rFonts w:ascii="標楷體" w:eastAsia="標楷體" w:hAnsi="標楷體"/>
          <w:sz w:val="30"/>
        </w:rPr>
        <w:t>二、○○○○○○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 w:cs="標楷體"/>
          <w:sz w:val="30"/>
        </w:rPr>
        <w:t xml:space="preserve">            </w:t>
      </w:r>
      <w:r>
        <w:rPr>
          <w:rFonts w:ascii="標楷體" w:eastAsia="標楷體" w:hAnsi="標楷體"/>
          <w:sz w:val="30"/>
        </w:rPr>
        <w:t>三、○○○○○○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 w:cs="標楷體"/>
          <w:sz w:val="30"/>
        </w:rPr>
        <w:t xml:space="preserve">            </w:t>
      </w:r>
      <w:r>
        <w:rPr>
          <w:rFonts w:ascii="標楷體" w:eastAsia="標楷體" w:hAnsi="標楷體"/>
          <w:sz w:val="30"/>
        </w:rPr>
        <w:t>四、○○○○○○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 w:cs="標楷體"/>
          <w:sz w:val="30"/>
        </w:rPr>
        <w:t xml:space="preserve">            </w:t>
      </w:r>
      <w:r>
        <w:rPr>
          <w:rFonts w:ascii="標楷體" w:eastAsia="標楷體" w:hAnsi="標楷體"/>
          <w:sz w:val="30"/>
        </w:rPr>
        <w:t>五、○○○○○○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 w:cs="標楷體"/>
          <w:sz w:val="30"/>
        </w:rPr>
        <w:t xml:space="preserve">            </w:t>
      </w:r>
      <w:r>
        <w:rPr>
          <w:rFonts w:ascii="標楷體" w:eastAsia="標楷體" w:hAnsi="標楷體"/>
          <w:sz w:val="30"/>
        </w:rPr>
        <w:t>六、其他符合本會設立宗旨之相關公益性經濟事務。</w:t>
      </w:r>
    </w:p>
    <w:p w:rsidR="000E3436" w:rsidRDefault="00E87C5B" w:rsidP="00301FAE">
      <w:pPr>
        <w:pStyle w:val="ab"/>
        <w:spacing w:beforeLines="50" w:before="120" w:line="240" w:lineRule="atLeast"/>
        <w:ind w:left="1831" w:hanging="1831"/>
      </w:pPr>
      <w:r>
        <w:rPr>
          <w:rFonts w:ascii="標楷體" w:eastAsia="標楷體" w:hAnsi="標楷體"/>
          <w:sz w:val="30"/>
        </w:rPr>
        <w:t>第　三　條　本會設立</w:t>
      </w:r>
      <w:proofErr w:type="gramStart"/>
      <w:r>
        <w:rPr>
          <w:rFonts w:ascii="標楷體" w:eastAsia="標楷體" w:hAnsi="標楷體"/>
          <w:sz w:val="30"/>
        </w:rPr>
        <w:t>基金共新臺幣</w:t>
      </w:r>
      <w:proofErr w:type="gramEnd"/>
      <w:r>
        <w:rPr>
          <w:rFonts w:ascii="標楷體" w:eastAsia="標楷體" w:hAnsi="標楷體"/>
          <w:sz w:val="30"/>
        </w:rPr>
        <w:t>○○○元整，由○○○捐助。</w:t>
      </w:r>
      <w:proofErr w:type="gramStart"/>
      <w:r>
        <w:rPr>
          <w:rFonts w:ascii="標楷體" w:eastAsia="標楷體" w:hAnsi="標楷體"/>
          <w:sz w:val="30"/>
        </w:rPr>
        <w:t>俟</w:t>
      </w:r>
      <w:proofErr w:type="gramEnd"/>
      <w:r>
        <w:rPr>
          <w:rFonts w:ascii="標楷體" w:eastAsia="標楷體" w:hAnsi="標楷體"/>
          <w:sz w:val="30"/>
        </w:rPr>
        <w:t>本會依法完成財團法人登記後，得繼續接受捐贈。</w:t>
      </w:r>
      <w:r>
        <w:rPr>
          <w:rFonts w:ascii="新細明體" w:eastAsia="新細明體" w:hAnsi="新細明體"/>
          <w:color w:val="808080"/>
        </w:rPr>
        <w:t>（基金數、捐助人）</w:t>
      </w:r>
    </w:p>
    <w:p w:rsidR="000E3436" w:rsidRDefault="00E87C5B" w:rsidP="00301FAE">
      <w:pPr>
        <w:pStyle w:val="ab"/>
        <w:spacing w:beforeLines="50" w:before="120" w:line="240" w:lineRule="atLeast"/>
        <w:ind w:left="1831" w:hanging="1831"/>
      </w:pPr>
      <w:r>
        <w:rPr>
          <w:rFonts w:ascii="標楷體" w:eastAsia="標楷體" w:hAnsi="標楷體"/>
          <w:sz w:val="30"/>
        </w:rPr>
        <w:t>第　四　條　本會會址設於</w:t>
      </w:r>
      <w:proofErr w:type="gramStart"/>
      <w:r>
        <w:rPr>
          <w:rFonts w:ascii="標楷體" w:eastAsia="標楷體" w:hAnsi="標楷體"/>
          <w:sz w:val="30"/>
        </w:rPr>
        <w:t>臺</w:t>
      </w:r>
      <w:proofErr w:type="gramEnd"/>
      <w:r>
        <w:rPr>
          <w:rFonts w:ascii="標楷體" w:eastAsia="標楷體" w:hAnsi="標楷體"/>
          <w:sz w:val="30"/>
        </w:rPr>
        <w:t>中市</w:t>
      </w:r>
      <w:r w:rsidR="00301FAE">
        <w:rPr>
          <w:rFonts w:ascii="標楷體" w:eastAsia="標楷體" w:hAnsi="標楷體" w:hint="eastAsia"/>
          <w:sz w:val="30"/>
        </w:rPr>
        <w:t xml:space="preserve">   </w:t>
      </w:r>
      <w:r>
        <w:rPr>
          <w:rFonts w:ascii="標楷體" w:eastAsia="標楷體" w:hAnsi="標楷體"/>
          <w:sz w:val="30"/>
        </w:rPr>
        <w:t xml:space="preserve">  區</w:t>
      </w:r>
      <w:r w:rsidR="00301FAE">
        <w:rPr>
          <w:rFonts w:ascii="標楷體" w:eastAsia="標楷體" w:hAnsi="標楷體" w:hint="eastAsia"/>
          <w:sz w:val="30"/>
        </w:rPr>
        <w:t xml:space="preserve">   </w:t>
      </w:r>
      <w:r>
        <w:rPr>
          <w:rFonts w:ascii="標楷體" w:eastAsia="標楷體" w:hAnsi="標楷體"/>
          <w:sz w:val="30"/>
        </w:rPr>
        <w:t xml:space="preserve"> 里</w:t>
      </w:r>
      <w:r w:rsidR="00301FAE">
        <w:rPr>
          <w:rFonts w:ascii="標楷體" w:eastAsia="標楷體" w:hAnsi="標楷體" w:hint="eastAsia"/>
          <w:sz w:val="30"/>
        </w:rPr>
        <w:t xml:space="preserve">   </w:t>
      </w:r>
      <w:r>
        <w:rPr>
          <w:rFonts w:ascii="標楷體" w:eastAsia="標楷體" w:hAnsi="標楷體"/>
          <w:sz w:val="30"/>
        </w:rPr>
        <w:t xml:space="preserve">  路（街） </w:t>
      </w:r>
      <w:r w:rsidR="00301FAE">
        <w:rPr>
          <w:rFonts w:ascii="標楷體" w:eastAsia="標楷體" w:hAnsi="標楷體" w:hint="eastAsia"/>
          <w:sz w:val="30"/>
        </w:rPr>
        <w:t xml:space="preserve">  </w:t>
      </w:r>
      <w:r>
        <w:rPr>
          <w:rFonts w:ascii="標楷體" w:eastAsia="標楷體" w:hAnsi="標楷體"/>
          <w:sz w:val="30"/>
        </w:rPr>
        <w:t xml:space="preserve">段 </w:t>
      </w:r>
      <w:r w:rsidR="00301FAE">
        <w:rPr>
          <w:rFonts w:ascii="標楷體" w:eastAsia="標楷體" w:hAnsi="標楷體" w:hint="eastAsia"/>
          <w:sz w:val="30"/>
        </w:rPr>
        <w:t xml:space="preserve">  </w:t>
      </w:r>
      <w:r>
        <w:rPr>
          <w:rFonts w:ascii="標楷體" w:eastAsia="標楷體" w:hAnsi="標楷體"/>
          <w:sz w:val="30"/>
        </w:rPr>
        <w:t xml:space="preserve">巷 </w:t>
      </w:r>
      <w:r w:rsidR="00301FAE">
        <w:rPr>
          <w:rFonts w:ascii="標楷體" w:eastAsia="標楷體" w:hAnsi="標楷體" w:hint="eastAsia"/>
          <w:sz w:val="30"/>
        </w:rPr>
        <w:t xml:space="preserve"> </w:t>
      </w:r>
      <w:r>
        <w:rPr>
          <w:rFonts w:ascii="標楷體" w:eastAsia="標楷體" w:hAnsi="標楷體"/>
          <w:sz w:val="30"/>
        </w:rPr>
        <w:t xml:space="preserve">弄 </w:t>
      </w:r>
      <w:r w:rsidR="00301FAE">
        <w:rPr>
          <w:rFonts w:ascii="標楷體" w:eastAsia="標楷體" w:hAnsi="標楷體" w:hint="eastAsia"/>
          <w:sz w:val="30"/>
        </w:rPr>
        <w:t xml:space="preserve">  </w:t>
      </w:r>
      <w:r>
        <w:rPr>
          <w:rFonts w:ascii="標楷體" w:eastAsia="標楷體" w:hAnsi="標楷體"/>
          <w:sz w:val="30"/>
        </w:rPr>
        <w:t xml:space="preserve">號 </w:t>
      </w:r>
      <w:r w:rsidR="00301FAE">
        <w:rPr>
          <w:rFonts w:ascii="標楷體" w:eastAsia="標楷體" w:hAnsi="標楷體" w:hint="eastAsia"/>
          <w:sz w:val="30"/>
        </w:rPr>
        <w:t xml:space="preserve">  </w:t>
      </w:r>
      <w:r>
        <w:rPr>
          <w:rFonts w:ascii="標楷體" w:eastAsia="標楷體" w:hAnsi="標楷體"/>
          <w:sz w:val="30"/>
        </w:rPr>
        <w:t>樓。</w:t>
      </w:r>
      <w:r>
        <w:rPr>
          <w:rFonts w:ascii="新細明體" w:eastAsia="新細明體" w:hAnsi="新細明體"/>
          <w:color w:val="808080"/>
        </w:rPr>
        <w:t>（詳列會址）</w:t>
      </w:r>
    </w:p>
    <w:p w:rsidR="000E3436" w:rsidRDefault="00E87C5B" w:rsidP="00301FAE">
      <w:pPr>
        <w:pStyle w:val="ab"/>
        <w:spacing w:beforeLines="50" w:before="120" w:line="240" w:lineRule="atLeast"/>
        <w:ind w:left="1531" w:hanging="1531"/>
      </w:pPr>
      <w:r>
        <w:rPr>
          <w:rFonts w:ascii="標楷體" w:eastAsia="標楷體" w:hAnsi="標楷體"/>
          <w:sz w:val="30"/>
        </w:rPr>
        <w:t>第　五　條　本會設董事會管理之，董事會職權如下：</w:t>
      </w:r>
      <w:r>
        <w:rPr>
          <w:rFonts w:ascii="新細明體" w:eastAsia="新細明體" w:hAnsi="新細明體"/>
          <w:color w:val="808080"/>
        </w:rPr>
        <w:t>（董事會及職權）</w:t>
      </w:r>
    </w:p>
    <w:p w:rsidR="000E3436" w:rsidRDefault="00E87C5B">
      <w:pPr>
        <w:pStyle w:val="ab"/>
        <w:spacing w:line="240" w:lineRule="atLeast"/>
        <w:ind w:firstLine="1800"/>
      </w:pPr>
      <w:r>
        <w:rPr>
          <w:rFonts w:ascii="標楷體" w:eastAsia="標楷體" w:hAnsi="標楷體"/>
          <w:sz w:val="30"/>
        </w:rPr>
        <w:t>一、基金之籌集、管理及運用。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 w:cs="標楷體"/>
          <w:sz w:val="30"/>
        </w:rPr>
        <w:t xml:space="preserve">            </w:t>
      </w:r>
      <w:r>
        <w:rPr>
          <w:rFonts w:ascii="標楷體" w:eastAsia="標楷體" w:hAnsi="標楷體"/>
          <w:sz w:val="30"/>
        </w:rPr>
        <w:t>二、業務計畫之審核及推行。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 w:cs="標楷體"/>
          <w:sz w:val="30"/>
        </w:rPr>
        <w:t xml:space="preserve">            </w:t>
      </w:r>
      <w:r>
        <w:rPr>
          <w:rFonts w:ascii="標楷體" w:eastAsia="標楷體" w:hAnsi="標楷體"/>
          <w:sz w:val="30"/>
        </w:rPr>
        <w:t>三、內部組織之制定及管理。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 w:cs="標楷體"/>
          <w:sz w:val="30"/>
        </w:rPr>
        <w:t xml:space="preserve">            </w:t>
      </w:r>
      <w:r>
        <w:rPr>
          <w:rFonts w:ascii="標楷體" w:eastAsia="標楷體" w:hAnsi="標楷體"/>
          <w:sz w:val="30"/>
        </w:rPr>
        <w:t>四、獎助案件的處理與有關辦法之訂定。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 w:cs="標楷體"/>
          <w:sz w:val="30"/>
        </w:rPr>
        <w:t xml:space="preserve">            </w:t>
      </w:r>
      <w:r>
        <w:rPr>
          <w:rFonts w:ascii="標楷體" w:eastAsia="標楷體" w:hAnsi="標楷體"/>
          <w:sz w:val="30"/>
        </w:rPr>
        <w:t>五、年度收支預算及決算之審定。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 w:cs="標楷體"/>
          <w:sz w:val="30"/>
        </w:rPr>
        <w:t xml:space="preserve">            </w:t>
      </w:r>
      <w:r>
        <w:rPr>
          <w:rFonts w:ascii="標楷體" w:eastAsia="標楷體" w:hAnsi="標楷體"/>
          <w:sz w:val="30"/>
        </w:rPr>
        <w:t>六、董事之改選（聘）及解聘。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 w:cs="標楷體"/>
          <w:sz w:val="30"/>
        </w:rPr>
        <w:t xml:space="preserve">            </w:t>
      </w:r>
      <w:r>
        <w:rPr>
          <w:rFonts w:ascii="標楷體" w:eastAsia="標楷體" w:hAnsi="標楷體"/>
          <w:sz w:val="30"/>
        </w:rPr>
        <w:t>七、其他重要事項之處理。</w:t>
      </w:r>
    </w:p>
    <w:p w:rsidR="000E3436" w:rsidRDefault="00E87C5B" w:rsidP="00301FAE">
      <w:pPr>
        <w:pStyle w:val="ab"/>
        <w:spacing w:beforeLines="50" w:before="120" w:line="240" w:lineRule="atLeast"/>
        <w:ind w:left="1797" w:hanging="1797"/>
      </w:pPr>
      <w:r>
        <w:rPr>
          <w:rFonts w:ascii="標楷體" w:eastAsia="標楷體" w:hAnsi="標楷體"/>
          <w:sz w:val="30"/>
        </w:rPr>
        <w:t>第　六　條　本會董事會由董事○○人至○○人組成。</w:t>
      </w:r>
    </w:p>
    <w:p w:rsidR="000E3436" w:rsidRDefault="00E87C5B">
      <w:pPr>
        <w:pStyle w:val="ab"/>
        <w:spacing w:line="240" w:lineRule="atLeast"/>
        <w:ind w:left="1920"/>
      </w:pPr>
      <w:r>
        <w:rPr>
          <w:rFonts w:ascii="新細明體" w:eastAsia="新細明體" w:hAnsi="新細明體"/>
          <w:color w:val="808080"/>
        </w:rPr>
        <w:t>(</w:t>
      </w:r>
      <w:r w:rsidR="00AC56FD" w:rsidRPr="00326D33">
        <w:rPr>
          <w:rFonts w:ascii="新細明體" w:eastAsia="新細明體" w:hAnsi="新細明體" w:hint="eastAsia"/>
          <w:color w:val="808080"/>
        </w:rPr>
        <w:t>民間捐助之財團法人其</w:t>
      </w:r>
      <w:r w:rsidRPr="00326D33">
        <w:rPr>
          <w:rFonts w:ascii="新細明體" w:eastAsia="新細明體" w:hAnsi="新細明體"/>
          <w:color w:val="808080"/>
        </w:rPr>
        <w:t>董事人數</w:t>
      </w:r>
      <w:r w:rsidR="00987B42" w:rsidRPr="00326D33">
        <w:rPr>
          <w:rFonts w:ascii="新細明體" w:eastAsia="新細明體" w:hAnsi="新細明體" w:hint="eastAsia"/>
          <w:color w:val="808080"/>
        </w:rPr>
        <w:t>為</w:t>
      </w:r>
      <w:r>
        <w:rPr>
          <w:rFonts w:ascii="新細明體" w:eastAsia="新細明體" w:hAnsi="新細明體"/>
          <w:color w:val="FF0000"/>
        </w:rPr>
        <w:t>五人至二十五人</w:t>
      </w:r>
      <w:r w:rsidR="00987B42" w:rsidRPr="00326D33">
        <w:rPr>
          <w:rFonts w:ascii="新細明體" w:eastAsia="新細明體" w:hAnsi="新細明體" w:hint="eastAsia"/>
          <w:color w:val="808080"/>
        </w:rPr>
        <w:t>；政府捐助之財團法人其董事人數為</w:t>
      </w:r>
      <w:r w:rsidR="00987B42" w:rsidRPr="00987B42">
        <w:rPr>
          <w:rFonts w:ascii="新細明體" w:eastAsia="新細明體" w:hAnsi="新細明體" w:hint="eastAsia"/>
          <w:color w:val="FF0000"/>
        </w:rPr>
        <w:t>七人至十五人</w:t>
      </w:r>
      <w:r w:rsidR="00987B42">
        <w:rPr>
          <w:rFonts w:ascii="新細明體" w:eastAsia="新細明體" w:hAnsi="新細明體" w:hint="eastAsia"/>
          <w:color w:val="808080"/>
        </w:rPr>
        <w:t>。</w:t>
      </w:r>
      <w:r>
        <w:rPr>
          <w:rFonts w:ascii="新細明體" w:eastAsia="新細明體" w:hAnsi="新細明體"/>
          <w:color w:val="808080"/>
        </w:rPr>
        <w:t>董事人數應為單數，其中</w:t>
      </w:r>
      <w:proofErr w:type="gramStart"/>
      <w:r>
        <w:rPr>
          <w:rFonts w:ascii="新細明體" w:eastAsia="新細明體" w:hAnsi="新細明體"/>
          <w:color w:val="808080"/>
        </w:rPr>
        <w:t>一</w:t>
      </w:r>
      <w:proofErr w:type="gramEnd"/>
      <w:r>
        <w:rPr>
          <w:rFonts w:ascii="新細明體" w:eastAsia="新細明體" w:hAnsi="新細明體"/>
          <w:color w:val="808080"/>
        </w:rPr>
        <w:t>人為董事長，並</w:t>
      </w:r>
      <w:proofErr w:type="gramStart"/>
      <w:r>
        <w:rPr>
          <w:rFonts w:ascii="新細明體" w:eastAsia="新細明體" w:hAnsi="新細明體"/>
          <w:color w:val="808080"/>
        </w:rPr>
        <w:t>得置副董事</w:t>
      </w:r>
      <w:proofErr w:type="gramEnd"/>
      <w:r>
        <w:rPr>
          <w:rFonts w:ascii="新細明體" w:eastAsia="新細明體" w:hAnsi="新細明體"/>
          <w:color w:val="808080"/>
        </w:rPr>
        <w:t>長)</w:t>
      </w:r>
    </w:p>
    <w:p w:rsidR="000E3436" w:rsidRDefault="00E87C5B">
      <w:pPr>
        <w:pStyle w:val="ab"/>
        <w:spacing w:line="240" w:lineRule="atLeast"/>
        <w:ind w:left="1830" w:hanging="1830"/>
      </w:pPr>
      <w:r>
        <w:rPr>
          <w:rFonts w:ascii="標楷體" w:eastAsia="標楷體" w:hAnsi="標楷體" w:cs="標楷體"/>
          <w:sz w:val="30"/>
        </w:rPr>
        <w:t xml:space="preserve">            </w:t>
      </w:r>
      <w:r>
        <w:rPr>
          <w:rFonts w:ascii="標楷體" w:eastAsia="標楷體" w:hAnsi="標楷體"/>
          <w:sz w:val="30"/>
        </w:rPr>
        <w:t>第一屆董事由原捐助人選聘之，第二屆以後董事由前一屆董事會選聘之。</w:t>
      </w:r>
      <w:proofErr w:type="gramStart"/>
      <w:r>
        <w:rPr>
          <w:rFonts w:ascii="標楷體" w:eastAsia="標楷體" w:hAnsi="標楷體"/>
          <w:sz w:val="30"/>
        </w:rPr>
        <w:t>董事均為無</w:t>
      </w:r>
      <w:proofErr w:type="gramEnd"/>
      <w:r>
        <w:rPr>
          <w:rFonts w:ascii="標楷體" w:eastAsia="標楷體" w:hAnsi="標楷體"/>
          <w:sz w:val="30"/>
        </w:rPr>
        <w:t>給職。</w:t>
      </w:r>
      <w:r>
        <w:rPr>
          <w:rFonts w:ascii="新細明體" w:eastAsia="新細明體" w:hAnsi="新細明體"/>
          <w:color w:val="808080"/>
        </w:rPr>
        <w:t>（董事會之組成）</w:t>
      </w:r>
    </w:p>
    <w:p w:rsidR="000E3436" w:rsidRDefault="00E87C5B" w:rsidP="00301FAE">
      <w:pPr>
        <w:pStyle w:val="ab"/>
        <w:spacing w:beforeLines="50" w:before="120" w:line="240" w:lineRule="atLeast"/>
        <w:ind w:left="1831" w:hanging="1831"/>
      </w:pPr>
      <w:r>
        <w:rPr>
          <w:rFonts w:ascii="標楷體" w:eastAsia="標楷體" w:hAnsi="標楷體"/>
          <w:sz w:val="30"/>
        </w:rPr>
        <w:t>第　七　條　本會董事任期每屆○年，連選得連任，董事在任期中因故出缺，董事會得另行選聘適當人員補足原任期。每屆董事任期屆滿前○</w:t>
      </w:r>
      <w:proofErr w:type="gramStart"/>
      <w:r>
        <w:rPr>
          <w:rFonts w:ascii="標楷體" w:eastAsia="標楷體" w:hAnsi="標楷體"/>
          <w:sz w:val="30"/>
        </w:rPr>
        <w:t>個</w:t>
      </w:r>
      <w:proofErr w:type="gramEnd"/>
      <w:r>
        <w:rPr>
          <w:rFonts w:ascii="標楷體" w:eastAsia="標楷體" w:hAnsi="標楷體"/>
          <w:sz w:val="30"/>
        </w:rPr>
        <w:t>月，董事會應召集會議，改選聘下屆董事。新舊任董事，應按期辦理交接。</w:t>
      </w:r>
      <w:r>
        <w:rPr>
          <w:rFonts w:ascii="新細明體" w:eastAsia="新細明體" w:hAnsi="新細明體"/>
          <w:color w:val="808080"/>
        </w:rPr>
        <w:t>（董事任期不得逾</w:t>
      </w:r>
      <w:r>
        <w:rPr>
          <w:rFonts w:ascii="新細明體" w:eastAsia="新細明體" w:hAnsi="新細明體"/>
          <w:color w:val="FF0000"/>
        </w:rPr>
        <w:t>四年</w:t>
      </w:r>
      <w:r>
        <w:rPr>
          <w:rFonts w:ascii="新細明體" w:eastAsia="新細明體" w:hAnsi="新細明體"/>
          <w:color w:val="808080"/>
        </w:rPr>
        <w:t>）</w:t>
      </w:r>
    </w:p>
    <w:p w:rsidR="000E3436" w:rsidRDefault="00E87C5B" w:rsidP="00301FAE">
      <w:pPr>
        <w:pStyle w:val="ab"/>
        <w:spacing w:beforeLines="50" w:before="120" w:line="240" w:lineRule="atLeast"/>
        <w:ind w:left="1831" w:hanging="1831"/>
      </w:pPr>
      <w:r>
        <w:rPr>
          <w:rFonts w:ascii="標楷體" w:eastAsia="標楷體" w:hAnsi="標楷體"/>
          <w:sz w:val="30"/>
        </w:rPr>
        <w:t>第　八　條　本會董事互選</w:t>
      </w:r>
      <w:proofErr w:type="gramStart"/>
      <w:r>
        <w:rPr>
          <w:rFonts w:ascii="標楷體" w:eastAsia="標楷體" w:hAnsi="標楷體"/>
          <w:sz w:val="30"/>
        </w:rPr>
        <w:t>一</w:t>
      </w:r>
      <w:proofErr w:type="gramEnd"/>
      <w:r>
        <w:rPr>
          <w:rFonts w:ascii="標楷體" w:eastAsia="標楷體" w:hAnsi="標楷體"/>
          <w:sz w:val="30"/>
        </w:rPr>
        <w:t>人為董事長，綜理會務，對外代表本會。</w:t>
      </w:r>
      <w:r>
        <w:rPr>
          <w:rFonts w:ascii="新細明體" w:eastAsia="新細明體" w:hAnsi="新細明體"/>
          <w:color w:val="808080"/>
        </w:rPr>
        <w:t>（董事</w:t>
      </w:r>
      <w:r>
        <w:rPr>
          <w:rFonts w:ascii="新細明體" w:eastAsia="新細明體" w:hAnsi="新細明體"/>
          <w:color w:val="808080"/>
        </w:rPr>
        <w:lastRenderedPageBreak/>
        <w:t>長及職權）</w:t>
      </w:r>
    </w:p>
    <w:p w:rsidR="000E3436" w:rsidRDefault="00E87C5B" w:rsidP="00301FAE">
      <w:pPr>
        <w:pStyle w:val="ab"/>
        <w:spacing w:beforeLines="50" w:before="120" w:line="240" w:lineRule="atLeast"/>
        <w:ind w:left="1531" w:hanging="1531"/>
      </w:pPr>
      <w:r>
        <w:rPr>
          <w:rFonts w:ascii="標楷體" w:eastAsia="標楷體" w:hAnsi="標楷體"/>
          <w:sz w:val="30"/>
        </w:rPr>
        <w:t>第　九　條　本會董事會每年至少開會二次，必要時得召集臨時會議。</w:t>
      </w:r>
    </w:p>
    <w:p w:rsidR="000E3436" w:rsidRDefault="00E87C5B">
      <w:pPr>
        <w:pStyle w:val="ab"/>
        <w:spacing w:line="240" w:lineRule="atLeast"/>
        <w:ind w:left="1830" w:hanging="1830"/>
      </w:pPr>
      <w:r>
        <w:rPr>
          <w:rFonts w:ascii="標楷體" w:eastAsia="標楷體" w:hAnsi="標楷體"/>
          <w:sz w:val="30"/>
        </w:rPr>
        <w:t xml:space="preserve">　　　　　　董事長未依規定召集，經現任董事</w:t>
      </w:r>
      <w:r w:rsidR="00C56A6A">
        <w:rPr>
          <w:rFonts w:ascii="標楷體" w:eastAsia="標楷體" w:hAnsi="標楷體" w:hint="eastAsia"/>
          <w:sz w:val="30"/>
        </w:rPr>
        <w:t>總人數</w:t>
      </w:r>
      <w:r>
        <w:rPr>
          <w:rFonts w:ascii="標楷體" w:eastAsia="標楷體" w:hAnsi="標楷體"/>
          <w:sz w:val="30"/>
        </w:rPr>
        <w:t>三分之一以上以書面提出會議目的及召集理由</w:t>
      </w:r>
      <w:r w:rsidR="00C56A6A">
        <w:rPr>
          <w:rFonts w:ascii="標楷體" w:eastAsia="標楷體" w:hAnsi="標楷體" w:hint="eastAsia"/>
          <w:sz w:val="30"/>
        </w:rPr>
        <w:t>，</w:t>
      </w:r>
      <w:r>
        <w:rPr>
          <w:rFonts w:ascii="標楷體" w:eastAsia="標楷體" w:hAnsi="標楷體"/>
          <w:sz w:val="30"/>
        </w:rPr>
        <w:t>請求召集董事會議時，董事長應自受請求之日起十日內召集之。逾期不為召集之通知，得由請求之董事報經</w:t>
      </w:r>
      <w:proofErr w:type="gramStart"/>
      <w:r>
        <w:rPr>
          <w:rFonts w:ascii="標楷體" w:eastAsia="標楷體" w:hAnsi="標楷體"/>
          <w:sz w:val="30"/>
        </w:rPr>
        <w:t>臺</w:t>
      </w:r>
      <w:proofErr w:type="gramEnd"/>
      <w:r>
        <w:rPr>
          <w:rFonts w:ascii="標楷體" w:eastAsia="標楷體" w:hAnsi="標楷體"/>
          <w:sz w:val="30"/>
        </w:rPr>
        <w:t>中市政府之許可，自行召集之。</w:t>
      </w:r>
    </w:p>
    <w:p w:rsidR="000E3436" w:rsidRDefault="00E87C5B" w:rsidP="00301FAE">
      <w:pPr>
        <w:pStyle w:val="ab"/>
        <w:spacing w:afterLines="50" w:after="120" w:line="240" w:lineRule="atLeast"/>
        <w:ind w:left="1831" w:hanging="1831"/>
      </w:pPr>
      <w:r>
        <w:rPr>
          <w:rFonts w:ascii="標楷體" w:eastAsia="標楷體" w:hAnsi="標楷體" w:cs="標楷體"/>
          <w:sz w:val="30"/>
        </w:rPr>
        <w:t xml:space="preserve">            </w:t>
      </w:r>
      <w:r>
        <w:rPr>
          <w:rFonts w:ascii="標楷體" w:eastAsia="標楷體" w:hAnsi="標楷體"/>
          <w:sz w:val="30"/>
        </w:rPr>
        <w:t>會議由董事長召集之並任主席或三分之一董事提議召集會議，須有過半數董事出席始得開會。對於議案之表決，以出席董事過半數同意行之。但下列重要事項之決議應有三分之二以上董事之出席，</w:t>
      </w:r>
      <w:r w:rsidR="00C56A6A">
        <w:rPr>
          <w:rFonts w:ascii="標楷體" w:eastAsia="標楷體" w:hAnsi="標楷體" w:hint="eastAsia"/>
          <w:sz w:val="30"/>
        </w:rPr>
        <w:t>出席</w:t>
      </w:r>
      <w:r>
        <w:rPr>
          <w:rFonts w:ascii="標楷體" w:eastAsia="標楷體" w:hAnsi="標楷體"/>
          <w:sz w:val="30"/>
        </w:rPr>
        <w:t>董事過半數同意</w:t>
      </w:r>
      <w:r w:rsidRPr="00301FAE">
        <w:rPr>
          <w:rFonts w:ascii="標楷體" w:eastAsia="標楷體" w:hAnsi="標楷體"/>
          <w:sz w:val="30"/>
        </w:rPr>
        <w:t>並經</w:t>
      </w:r>
      <w:proofErr w:type="gramStart"/>
      <w:r w:rsidRPr="00301FAE">
        <w:rPr>
          <w:rFonts w:ascii="標楷體" w:eastAsia="標楷體" w:hAnsi="標楷體"/>
          <w:sz w:val="30"/>
        </w:rPr>
        <w:t>臺</w:t>
      </w:r>
      <w:proofErr w:type="gramEnd"/>
      <w:r w:rsidRPr="00301FAE">
        <w:rPr>
          <w:rFonts w:ascii="標楷體" w:eastAsia="標楷體" w:hAnsi="標楷體"/>
          <w:sz w:val="30"/>
        </w:rPr>
        <w:t>中市</w:t>
      </w:r>
      <w:r>
        <w:rPr>
          <w:rFonts w:ascii="標楷體" w:eastAsia="標楷體" w:hAnsi="標楷體"/>
          <w:sz w:val="30"/>
        </w:rPr>
        <w:t>政府許可後行之：</w:t>
      </w:r>
    </w:p>
    <w:p w:rsidR="000E3436" w:rsidRPr="00301FAE" w:rsidRDefault="00E87C5B" w:rsidP="006E5C61">
      <w:pPr>
        <w:pStyle w:val="ab"/>
        <w:numPr>
          <w:ilvl w:val="0"/>
          <w:numId w:val="3"/>
        </w:numPr>
        <w:spacing w:line="240" w:lineRule="atLeast"/>
      </w:pPr>
      <w:r w:rsidRPr="00301FAE">
        <w:rPr>
          <w:rFonts w:ascii="標楷體" w:eastAsia="標楷體" w:hAnsi="標楷體"/>
          <w:sz w:val="30"/>
        </w:rPr>
        <w:t>章程變更之擬議。</w:t>
      </w:r>
    </w:p>
    <w:p w:rsidR="000E3436" w:rsidRPr="00301FAE" w:rsidRDefault="00E87C5B">
      <w:pPr>
        <w:pStyle w:val="ab"/>
        <w:numPr>
          <w:ilvl w:val="0"/>
          <w:numId w:val="3"/>
        </w:numPr>
        <w:spacing w:line="240" w:lineRule="atLeast"/>
      </w:pPr>
      <w:r w:rsidRPr="00301FAE">
        <w:rPr>
          <w:rFonts w:ascii="標楷體" w:eastAsia="標楷體" w:hAnsi="標楷體"/>
          <w:sz w:val="30"/>
        </w:rPr>
        <w:t>基金之動用。</w:t>
      </w:r>
    </w:p>
    <w:p w:rsidR="00301FAE" w:rsidRDefault="00E87C5B" w:rsidP="00301FAE">
      <w:pPr>
        <w:pStyle w:val="ab"/>
        <w:numPr>
          <w:ilvl w:val="0"/>
          <w:numId w:val="3"/>
        </w:numPr>
        <w:spacing w:line="240" w:lineRule="atLeast"/>
      </w:pPr>
      <w:r w:rsidRPr="00301FAE">
        <w:rPr>
          <w:rFonts w:ascii="標楷體" w:eastAsia="標楷體" w:hAnsi="標楷體"/>
          <w:sz w:val="30"/>
        </w:rPr>
        <w:t>以基金填補短</w:t>
      </w:r>
      <w:proofErr w:type="gramStart"/>
      <w:r w:rsidRPr="00301FAE">
        <w:rPr>
          <w:rFonts w:ascii="標楷體" w:eastAsia="標楷體" w:hAnsi="標楷體"/>
          <w:sz w:val="30"/>
        </w:rPr>
        <w:t>絀</w:t>
      </w:r>
      <w:proofErr w:type="gramEnd"/>
      <w:r w:rsidRPr="00301FAE">
        <w:rPr>
          <w:rFonts w:ascii="標楷體" w:eastAsia="標楷體" w:hAnsi="標楷體"/>
          <w:sz w:val="30"/>
        </w:rPr>
        <w:t>。</w:t>
      </w:r>
    </w:p>
    <w:p w:rsidR="00301FAE" w:rsidRDefault="00E87C5B" w:rsidP="00301FAE">
      <w:pPr>
        <w:pStyle w:val="ab"/>
        <w:numPr>
          <w:ilvl w:val="0"/>
          <w:numId w:val="3"/>
        </w:numPr>
        <w:spacing w:line="240" w:lineRule="atLeast"/>
      </w:pPr>
      <w:r w:rsidRPr="00301FAE">
        <w:rPr>
          <w:rFonts w:ascii="標楷體" w:eastAsia="標楷體" w:hAnsi="標楷體"/>
          <w:sz w:val="30"/>
        </w:rPr>
        <w:t>不動產處分或設定負擔。</w:t>
      </w:r>
    </w:p>
    <w:p w:rsidR="00301FAE" w:rsidRDefault="00E87C5B" w:rsidP="00301FAE">
      <w:pPr>
        <w:pStyle w:val="ab"/>
        <w:numPr>
          <w:ilvl w:val="0"/>
          <w:numId w:val="3"/>
        </w:numPr>
        <w:spacing w:line="240" w:lineRule="atLeast"/>
      </w:pPr>
      <w:r w:rsidRPr="00301FAE">
        <w:rPr>
          <w:rFonts w:ascii="標楷體" w:eastAsia="標楷體" w:hAnsi="標楷體"/>
          <w:sz w:val="30"/>
        </w:rPr>
        <w:t>董事長及董事之選</w:t>
      </w:r>
      <w:r w:rsidR="00C56A6A" w:rsidRPr="00301FAE">
        <w:rPr>
          <w:rFonts w:ascii="標楷體" w:eastAsia="標楷體" w:hAnsi="標楷體" w:hint="eastAsia"/>
          <w:sz w:val="30"/>
        </w:rPr>
        <w:t>任</w:t>
      </w:r>
      <w:r w:rsidRPr="00301FAE">
        <w:rPr>
          <w:rFonts w:ascii="標楷體" w:eastAsia="標楷體" w:hAnsi="標楷體"/>
          <w:sz w:val="30"/>
        </w:rPr>
        <w:t>及解</w:t>
      </w:r>
      <w:r w:rsidR="00C56A6A" w:rsidRPr="00301FAE">
        <w:rPr>
          <w:rFonts w:ascii="標楷體" w:eastAsia="標楷體" w:hAnsi="標楷體" w:hint="eastAsia"/>
          <w:sz w:val="30"/>
        </w:rPr>
        <w:t>任</w:t>
      </w:r>
      <w:r w:rsidRPr="00301FAE">
        <w:rPr>
          <w:rFonts w:ascii="標楷體" w:eastAsia="標楷體" w:hAnsi="標楷體"/>
          <w:sz w:val="30"/>
        </w:rPr>
        <w:t>。</w:t>
      </w:r>
    </w:p>
    <w:p w:rsidR="000E3436" w:rsidRDefault="00E87C5B" w:rsidP="00301FAE">
      <w:pPr>
        <w:pStyle w:val="ab"/>
        <w:numPr>
          <w:ilvl w:val="0"/>
          <w:numId w:val="3"/>
        </w:numPr>
        <w:spacing w:line="240" w:lineRule="atLeast"/>
      </w:pPr>
      <w:r w:rsidRPr="00301FAE">
        <w:rPr>
          <w:rFonts w:ascii="標楷體" w:eastAsia="標楷體" w:hAnsi="標楷體"/>
          <w:sz w:val="30"/>
        </w:rPr>
        <w:t>法人擬解散之決定。</w:t>
      </w:r>
    </w:p>
    <w:p w:rsidR="000E3436" w:rsidRDefault="00E87C5B" w:rsidP="003C7259">
      <w:pPr>
        <w:pStyle w:val="Web"/>
        <w:spacing w:after="0" w:line="238" w:lineRule="atLeast"/>
        <w:ind w:left="1831" w:hanging="1831"/>
      </w:pPr>
      <w:r>
        <w:rPr>
          <w:rFonts w:ascii="標楷體" w:eastAsia="標楷體" w:hAnsi="標楷體" w:cs="標楷體"/>
          <w:sz w:val="30"/>
        </w:rPr>
        <w:t xml:space="preserve">            </w:t>
      </w:r>
      <w:r>
        <w:rPr>
          <w:rFonts w:ascii="標楷體" w:eastAsia="標楷體" w:hAnsi="標楷體"/>
          <w:sz w:val="30"/>
        </w:rPr>
        <w:t>前項重要事項之討論，應於會議十日前，將開會通知及議程送達各董事</w:t>
      </w:r>
      <w:r w:rsidR="00AC56FD" w:rsidRPr="00326D33">
        <w:rPr>
          <w:rFonts w:ascii="標楷體" w:eastAsia="標楷體" w:hAnsi="標楷體" w:hint="eastAsia"/>
          <w:sz w:val="30"/>
        </w:rPr>
        <w:t>及</w:t>
      </w:r>
      <w:proofErr w:type="gramStart"/>
      <w:r w:rsidR="00AC56FD" w:rsidRPr="00326D33">
        <w:rPr>
          <w:rFonts w:ascii="標楷體" w:eastAsia="標楷體" w:hAnsi="標楷體" w:hint="eastAsia"/>
          <w:sz w:val="30"/>
        </w:rPr>
        <w:t>臺</w:t>
      </w:r>
      <w:proofErr w:type="gramEnd"/>
      <w:r w:rsidR="00AC56FD" w:rsidRPr="00326D33">
        <w:rPr>
          <w:rFonts w:ascii="標楷體" w:eastAsia="標楷體" w:hAnsi="標楷體" w:hint="eastAsia"/>
          <w:sz w:val="30"/>
        </w:rPr>
        <w:t>中市政府</w:t>
      </w:r>
      <w:r w:rsidRPr="00AC56FD">
        <w:rPr>
          <w:rFonts w:ascii="標楷體" w:eastAsia="標楷體" w:hAnsi="標楷體"/>
          <w:color w:val="0000FF"/>
          <w:sz w:val="30"/>
        </w:rPr>
        <w:t>，</w:t>
      </w:r>
      <w:r w:rsidR="003C7259">
        <w:rPr>
          <w:rFonts w:ascii="標楷體" w:eastAsia="標楷體" w:hAnsi="標楷體" w:hint="eastAsia"/>
          <w:sz w:val="30"/>
          <w:szCs w:val="30"/>
        </w:rPr>
        <w:t>並依規報請</w:t>
      </w:r>
      <w:r w:rsidR="003C7259" w:rsidRPr="00326D33">
        <w:rPr>
          <w:rFonts w:ascii="標楷體" w:eastAsia="標楷體" w:hAnsi="標楷體" w:hint="eastAsia"/>
          <w:sz w:val="30"/>
          <w:szCs w:val="30"/>
        </w:rPr>
        <w:t>臺中市</w:t>
      </w:r>
      <w:r w:rsidR="003C7259">
        <w:rPr>
          <w:rFonts w:ascii="標楷體" w:eastAsia="標楷體" w:hAnsi="標楷體" w:hint="eastAsia"/>
          <w:sz w:val="30"/>
          <w:szCs w:val="30"/>
        </w:rPr>
        <w:t>政府派員列席指導，</w:t>
      </w:r>
      <w:r w:rsidR="00AC56FD">
        <w:rPr>
          <w:rFonts w:ascii="標楷體" w:eastAsia="標楷體" w:hAnsi="標楷體"/>
          <w:sz w:val="30"/>
        </w:rPr>
        <w:t>會後並</w:t>
      </w:r>
      <w:r>
        <w:rPr>
          <w:rFonts w:ascii="標楷體" w:eastAsia="標楷體" w:hAnsi="標楷體"/>
          <w:sz w:val="30"/>
        </w:rPr>
        <w:t>將董事會議紀錄呈報臺中市政府核備。</w:t>
      </w:r>
      <w:r w:rsidR="00AC56FD">
        <w:rPr>
          <w:color w:val="808080"/>
        </w:rPr>
        <w:t>（</w:t>
      </w:r>
      <w:r w:rsidR="00AC56FD">
        <w:rPr>
          <w:rFonts w:hint="eastAsia"/>
          <w:color w:val="808080"/>
        </w:rPr>
        <w:t>依財團法人法第45條第3項</w:t>
      </w:r>
      <w:r w:rsidR="00AC56FD">
        <w:rPr>
          <w:color w:val="808080"/>
        </w:rPr>
        <w:t>）</w:t>
      </w:r>
    </w:p>
    <w:p w:rsidR="000E3436" w:rsidRDefault="00E87C5B">
      <w:pPr>
        <w:pStyle w:val="ab"/>
        <w:spacing w:line="240" w:lineRule="atLeast"/>
        <w:ind w:left="1830" w:hanging="1830"/>
      </w:pPr>
      <w:r>
        <w:rPr>
          <w:rFonts w:ascii="標楷體" w:eastAsia="標楷體" w:hAnsi="標楷體"/>
          <w:sz w:val="30"/>
        </w:rPr>
        <w:t xml:space="preserve">　　　　　　董事應親自出席董事會議，無法親自出席，得書面委託他人代理；出席人員以接受一人委託為限，且委託比率以不超過董事出席人數</w:t>
      </w:r>
      <w:r w:rsidRPr="00301FAE">
        <w:rPr>
          <w:rFonts w:ascii="標楷體" w:eastAsia="標楷體" w:hAnsi="標楷體"/>
          <w:sz w:val="30"/>
        </w:rPr>
        <w:t>三</w:t>
      </w:r>
      <w:r>
        <w:rPr>
          <w:rFonts w:ascii="標楷體" w:eastAsia="標楷體" w:hAnsi="標楷體"/>
          <w:sz w:val="30"/>
        </w:rPr>
        <w:t>分之一為限。</w:t>
      </w:r>
      <w:r>
        <w:rPr>
          <w:rFonts w:ascii="新細明體" w:eastAsia="新細明體" w:hAnsi="新細明體"/>
          <w:color w:val="808080"/>
        </w:rPr>
        <w:t>（董事會議運作）</w:t>
      </w:r>
    </w:p>
    <w:p w:rsidR="000E3436" w:rsidRDefault="00E87C5B" w:rsidP="00301FAE">
      <w:pPr>
        <w:pStyle w:val="ab"/>
        <w:spacing w:beforeLines="50" w:before="120" w:line="240" w:lineRule="atLeast"/>
        <w:ind w:left="1831" w:hanging="1831"/>
        <w:jc w:val="both"/>
      </w:pPr>
      <w:r>
        <w:rPr>
          <w:rFonts w:ascii="標楷體" w:eastAsia="標楷體" w:hAnsi="標楷體"/>
          <w:sz w:val="30"/>
        </w:rPr>
        <w:t>第　十　條</w:t>
      </w:r>
      <w:r w:rsidRPr="00301FAE">
        <w:rPr>
          <w:rFonts w:ascii="標楷體" w:eastAsia="標楷體" w:hAnsi="標楷體"/>
          <w:sz w:val="30"/>
        </w:rPr>
        <w:t xml:space="preserve">　本會以每年一月一日至十二月三十一日為業務及會計年度，應於每年年度開始後一個月內，將</w:t>
      </w:r>
      <w:r w:rsidR="00301FAE" w:rsidRPr="00301FAE">
        <w:rPr>
          <w:rFonts w:ascii="標楷體" w:eastAsia="標楷體" w:hAnsi="標楷體" w:hint="eastAsia"/>
          <w:sz w:val="30"/>
        </w:rPr>
        <w:t>其</w:t>
      </w:r>
      <w:r w:rsidRPr="00301FAE">
        <w:rPr>
          <w:rFonts w:ascii="標楷體" w:eastAsia="標楷體" w:hAnsi="標楷體"/>
          <w:sz w:val="30"/>
        </w:rPr>
        <w:t>當年工作計畫及經費預算；每年結束後五</w:t>
      </w:r>
      <w:proofErr w:type="gramStart"/>
      <w:r w:rsidRPr="00301FAE">
        <w:rPr>
          <w:rFonts w:ascii="標楷體" w:eastAsia="標楷體" w:hAnsi="標楷體"/>
          <w:sz w:val="30"/>
        </w:rPr>
        <w:t>個</w:t>
      </w:r>
      <w:proofErr w:type="gramEnd"/>
      <w:r w:rsidRPr="00301FAE">
        <w:rPr>
          <w:rFonts w:ascii="標楷體" w:eastAsia="標楷體" w:hAnsi="標楷體"/>
          <w:sz w:val="30"/>
        </w:rPr>
        <w:t>月內，將其前一年度工作報告及財務報表，</w:t>
      </w:r>
      <w:r w:rsidR="00301FAE" w:rsidRPr="00301FAE">
        <w:rPr>
          <w:rFonts w:ascii="標楷體" w:eastAsia="標楷體" w:hAnsi="標楷體" w:hint="eastAsia"/>
          <w:sz w:val="30"/>
        </w:rPr>
        <w:t>分別提請</w:t>
      </w:r>
      <w:r w:rsidRPr="00301FAE">
        <w:rPr>
          <w:rFonts w:ascii="標楷體" w:eastAsia="標楷體" w:hAnsi="標楷體"/>
          <w:sz w:val="30"/>
        </w:rPr>
        <w:t>董事會</w:t>
      </w:r>
      <w:r w:rsidR="00301FAE" w:rsidRPr="00301FAE">
        <w:rPr>
          <w:rFonts w:ascii="標楷體" w:eastAsia="標楷體" w:hAnsi="標楷體" w:hint="eastAsia"/>
          <w:sz w:val="30"/>
        </w:rPr>
        <w:t>通過</w:t>
      </w:r>
      <w:r w:rsidRPr="00301FAE">
        <w:rPr>
          <w:rFonts w:ascii="標楷體" w:eastAsia="標楷體" w:hAnsi="標楷體"/>
          <w:sz w:val="30"/>
        </w:rPr>
        <w:t>後，函報臺中市政府備查。</w:t>
      </w:r>
    </w:p>
    <w:p w:rsidR="000E3436" w:rsidRDefault="00E87C5B" w:rsidP="00301FAE">
      <w:pPr>
        <w:pStyle w:val="ab"/>
        <w:spacing w:beforeLines="50" w:before="120" w:line="240" w:lineRule="atLeast"/>
        <w:ind w:left="1797" w:hanging="1797"/>
      </w:pPr>
      <w:r>
        <w:rPr>
          <w:rFonts w:ascii="標楷體" w:eastAsia="標楷體" w:hAnsi="標楷體"/>
          <w:sz w:val="30"/>
        </w:rPr>
        <w:t>第 十一 條　本會辦理本年度業務計畫以外之工作，須符合本章程第二條之規定。（業務限制，刪除須事先報府之規定）</w:t>
      </w:r>
    </w:p>
    <w:p w:rsidR="000E3436" w:rsidRDefault="00E87C5B" w:rsidP="00301FAE">
      <w:pPr>
        <w:pStyle w:val="ab"/>
        <w:spacing w:beforeLines="50" w:before="120" w:line="240" w:lineRule="atLeast"/>
        <w:ind w:left="1831" w:hanging="1831"/>
      </w:pPr>
      <w:r>
        <w:rPr>
          <w:rFonts w:ascii="標楷體" w:eastAsia="標楷體" w:hAnsi="標楷體"/>
          <w:sz w:val="30"/>
        </w:rPr>
        <w:t>第 十二 條　本會辦理各項業務所需經費，以支用基金孳息及法人成立後所得捐贈為原則。經法院登記之財產總額之管理使用，受</w:t>
      </w:r>
      <w:proofErr w:type="gramStart"/>
      <w:r>
        <w:rPr>
          <w:rFonts w:ascii="標楷體" w:eastAsia="標楷體" w:hAnsi="標楷體"/>
          <w:sz w:val="30"/>
        </w:rPr>
        <w:t>臺</w:t>
      </w:r>
      <w:proofErr w:type="gramEnd"/>
      <w:r>
        <w:rPr>
          <w:rFonts w:ascii="標楷體" w:eastAsia="標楷體" w:hAnsi="標楷體"/>
          <w:sz w:val="30"/>
        </w:rPr>
        <w:t>中市政府之監督；其管理使用非經董事會之決議及主管機關之許可，不得處分原有基金、不動產以及法人成立後列入基金之捐贈。本會之財產不得</w:t>
      </w:r>
      <w:proofErr w:type="gramStart"/>
      <w:r>
        <w:rPr>
          <w:rFonts w:ascii="標楷體" w:eastAsia="標楷體" w:hAnsi="標楷體"/>
          <w:sz w:val="30"/>
        </w:rPr>
        <w:t>存放或貸與</w:t>
      </w:r>
      <w:proofErr w:type="gramEnd"/>
      <w:r>
        <w:rPr>
          <w:rFonts w:ascii="標楷體" w:eastAsia="標楷體" w:hAnsi="標楷體"/>
          <w:sz w:val="30"/>
        </w:rPr>
        <w:t>董事、其他個人或非金融機構。（基金運用限制）</w:t>
      </w:r>
    </w:p>
    <w:p w:rsidR="000E3436" w:rsidRDefault="00E87C5B" w:rsidP="00301FAE">
      <w:pPr>
        <w:pStyle w:val="ab"/>
        <w:spacing w:beforeLines="50" w:before="120" w:line="240" w:lineRule="atLeast"/>
        <w:ind w:left="1831" w:hanging="1831"/>
      </w:pPr>
      <w:r>
        <w:rPr>
          <w:rFonts w:ascii="標楷體" w:eastAsia="標楷體" w:hAnsi="標楷體"/>
          <w:sz w:val="30"/>
        </w:rPr>
        <w:t>第 十三 條　本會由於業務需要或其他因素，變更董事、財產及其他重要事項，</w:t>
      </w:r>
      <w:proofErr w:type="gramStart"/>
      <w:r>
        <w:rPr>
          <w:rFonts w:ascii="標楷體" w:eastAsia="標楷體" w:hAnsi="標楷體"/>
          <w:sz w:val="30"/>
        </w:rPr>
        <w:t>均須經</w:t>
      </w:r>
      <w:proofErr w:type="gramEnd"/>
      <w:r>
        <w:rPr>
          <w:rFonts w:ascii="標楷體" w:eastAsia="標楷體" w:hAnsi="標楷體"/>
          <w:sz w:val="30"/>
        </w:rPr>
        <w:t>董事會通過，函報臺中市政府許可，並向法院辦理</w:t>
      </w:r>
      <w:r>
        <w:rPr>
          <w:rFonts w:ascii="標楷體" w:eastAsia="標楷體" w:hAnsi="標楷體"/>
          <w:sz w:val="30"/>
        </w:rPr>
        <w:lastRenderedPageBreak/>
        <w:t>變更登記。（變更規定）</w:t>
      </w:r>
    </w:p>
    <w:p w:rsidR="000E3436" w:rsidRDefault="00E87C5B" w:rsidP="00301FAE">
      <w:pPr>
        <w:pStyle w:val="ab"/>
        <w:spacing w:beforeLines="50" w:before="120" w:line="240" w:lineRule="atLeast"/>
        <w:ind w:left="1831" w:hanging="1831"/>
      </w:pPr>
      <w:r>
        <w:rPr>
          <w:rFonts w:ascii="標楷體" w:eastAsia="標楷體" w:hAnsi="標楷體"/>
          <w:sz w:val="30"/>
        </w:rPr>
        <w:t>第 十四 條　本會係永久性質，於解散或撤銷許可時，經依法清算後之賸餘財產，不得歸屬任何自然人或營利團體，應歸屬主事務所所在地之地方自治團體。（解散後財產歸屬）</w:t>
      </w:r>
    </w:p>
    <w:p w:rsidR="000E3436" w:rsidRDefault="00E87C5B" w:rsidP="00301FAE">
      <w:pPr>
        <w:pStyle w:val="ab"/>
        <w:spacing w:beforeLines="50" w:before="120" w:line="240" w:lineRule="atLeast"/>
        <w:ind w:left="1797" w:hanging="1797"/>
      </w:pPr>
      <w:r>
        <w:rPr>
          <w:rFonts w:ascii="標楷體" w:eastAsia="標楷體" w:hAnsi="標楷體"/>
          <w:sz w:val="30"/>
        </w:rPr>
        <w:t>第 十五 條　本章程訂於</w:t>
      </w:r>
      <w:r w:rsidR="00301FAE">
        <w:rPr>
          <w:rFonts w:ascii="標楷體" w:eastAsia="標楷體" w:hAnsi="標楷體" w:hint="eastAsia"/>
          <w:sz w:val="30"/>
        </w:rPr>
        <w:t>○</w:t>
      </w:r>
      <w:r>
        <w:rPr>
          <w:rFonts w:ascii="標楷體" w:eastAsia="標楷體" w:hAnsi="標楷體"/>
          <w:sz w:val="30"/>
        </w:rPr>
        <w:t>○○年○月○日，如有未盡事宜，悉依有關法令規定辦理。</w:t>
      </w:r>
    </w:p>
    <w:p w:rsidR="000E3436" w:rsidRDefault="00E87C5B" w:rsidP="00301FAE">
      <w:pPr>
        <w:pStyle w:val="ab"/>
        <w:spacing w:beforeLines="50" w:before="120" w:line="240" w:lineRule="atLeast"/>
      </w:pPr>
      <w:r>
        <w:rPr>
          <w:rFonts w:ascii="標楷體" w:eastAsia="標楷體" w:hAnsi="標楷體"/>
          <w:sz w:val="30"/>
        </w:rPr>
        <w:t>第 十六 條　本章程經本會完成財團法人登記後施行。</w:t>
      </w: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0"/>
        </w:rPr>
      </w:pPr>
    </w:p>
    <w:p w:rsidR="000E3436" w:rsidRDefault="000E3436">
      <w:pPr>
        <w:pStyle w:val="ab"/>
        <w:spacing w:line="240" w:lineRule="atLeast"/>
        <w:rPr>
          <w:rFonts w:ascii="標楷體" w:eastAsia="標楷體" w:hAnsi="標楷體"/>
          <w:sz w:val="30"/>
        </w:rPr>
      </w:pP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0"/>
        </w:rPr>
        <w:t xml:space="preserve">備  </w:t>
      </w:r>
      <w:proofErr w:type="gramStart"/>
      <w:r>
        <w:rPr>
          <w:rFonts w:ascii="標楷體" w:eastAsia="標楷體" w:hAnsi="標楷體"/>
          <w:sz w:val="30"/>
        </w:rPr>
        <w:t>註</w:t>
      </w:r>
      <w:proofErr w:type="gramEnd"/>
      <w:r>
        <w:rPr>
          <w:rFonts w:ascii="標楷體" w:eastAsia="標楷體" w:hAnsi="標楷體"/>
          <w:sz w:val="30"/>
        </w:rPr>
        <w:t>：</w:t>
      </w:r>
    </w:p>
    <w:p w:rsidR="000E3436" w:rsidRDefault="00E87C5B">
      <w:pPr>
        <w:pStyle w:val="ab"/>
        <w:spacing w:line="240" w:lineRule="atLeast"/>
      </w:pPr>
      <w:r>
        <w:rPr>
          <w:rFonts w:ascii="標楷體" w:eastAsia="標楷體" w:hAnsi="標楷體"/>
          <w:sz w:val="30"/>
        </w:rPr>
        <w:t>一、條文後括號內之說明文</w:t>
      </w:r>
      <w:proofErr w:type="gramStart"/>
      <w:r>
        <w:rPr>
          <w:rFonts w:ascii="標楷體" w:eastAsia="標楷體" w:hAnsi="標楷體"/>
          <w:sz w:val="30"/>
        </w:rPr>
        <w:t>字毋</w:t>
      </w:r>
      <w:proofErr w:type="gramEnd"/>
      <w:r>
        <w:rPr>
          <w:rFonts w:ascii="標楷體" w:eastAsia="標楷體" w:hAnsi="標楷體"/>
          <w:sz w:val="30"/>
        </w:rPr>
        <w:t>需列印。</w:t>
      </w:r>
      <w:proofErr w:type="gramStart"/>
      <w:r>
        <w:rPr>
          <w:rFonts w:ascii="標楷體" w:eastAsia="標楷體" w:hAnsi="標楷體"/>
          <w:sz w:val="30"/>
        </w:rPr>
        <w:t>（</w:t>
      </w:r>
      <w:proofErr w:type="gramEnd"/>
      <w:r>
        <w:rPr>
          <w:rFonts w:ascii="標楷體" w:eastAsia="標楷體" w:hAnsi="標楷體"/>
          <w:sz w:val="30"/>
        </w:rPr>
        <w:t>如：</w:t>
      </w:r>
      <w:r>
        <w:rPr>
          <w:rFonts w:ascii="新細明體" w:eastAsia="新細明體" w:hAnsi="新細明體"/>
          <w:color w:val="808080"/>
        </w:rPr>
        <w:t>（依據、定名）</w:t>
      </w:r>
      <w:proofErr w:type="gramStart"/>
      <w:r>
        <w:rPr>
          <w:rFonts w:ascii="標楷體" w:eastAsia="標楷體" w:hAnsi="標楷體"/>
          <w:sz w:val="30"/>
        </w:rPr>
        <w:t>）</w:t>
      </w:r>
      <w:proofErr w:type="gramEnd"/>
    </w:p>
    <w:p w:rsidR="000E3436" w:rsidRDefault="00E87C5B">
      <w:pPr>
        <w:pStyle w:val="ab"/>
        <w:spacing w:line="240" w:lineRule="atLeast"/>
        <w:ind w:left="600" w:hanging="600"/>
      </w:pPr>
      <w:r>
        <w:rPr>
          <w:rFonts w:ascii="標楷體" w:eastAsia="標楷體" w:hAnsi="標楷體"/>
          <w:sz w:val="30"/>
        </w:rPr>
        <w:t>二、其他選擇性之規定，如是否設置監察人？是否訂定會計師簽證制度？是否明訂行政組織與職稱？是否定其他相關規定、細則？</w:t>
      </w:r>
      <w:r>
        <w:rPr>
          <w:rFonts w:ascii="新細明體" w:eastAsia="新細明體" w:hAnsi="新細明體"/>
          <w:sz w:val="30"/>
        </w:rPr>
        <w:t>…</w:t>
      </w:r>
      <w:proofErr w:type="gramStart"/>
      <w:r>
        <w:rPr>
          <w:rFonts w:ascii="新細明體" w:eastAsia="新細明體" w:hAnsi="新細明體"/>
          <w:sz w:val="30"/>
        </w:rPr>
        <w:t>…</w:t>
      </w:r>
      <w:r>
        <w:rPr>
          <w:rFonts w:ascii="標楷體" w:eastAsia="標楷體" w:hAnsi="標楷體"/>
          <w:sz w:val="30"/>
        </w:rPr>
        <w:t>等均應</w:t>
      </w:r>
      <w:proofErr w:type="gramEnd"/>
      <w:r>
        <w:rPr>
          <w:rFonts w:ascii="標楷體" w:eastAsia="標楷體" w:hAnsi="標楷體"/>
          <w:sz w:val="30"/>
        </w:rPr>
        <w:t>依實際需要自行</w:t>
      </w:r>
      <w:proofErr w:type="gramStart"/>
      <w:r>
        <w:rPr>
          <w:rFonts w:ascii="標楷體" w:eastAsia="標楷體" w:hAnsi="標楷體"/>
          <w:sz w:val="30"/>
        </w:rPr>
        <w:t>審酌訂</w:t>
      </w:r>
      <w:proofErr w:type="gramEnd"/>
      <w:r>
        <w:rPr>
          <w:rFonts w:ascii="標楷體" w:eastAsia="標楷體" w:hAnsi="標楷體"/>
          <w:sz w:val="30"/>
        </w:rPr>
        <w:t>定。</w:t>
      </w:r>
    </w:p>
    <w:p w:rsidR="00E87C5B" w:rsidRDefault="00E87C5B" w:rsidP="00153096">
      <w:pPr>
        <w:pStyle w:val="ab"/>
        <w:spacing w:line="240" w:lineRule="atLeast"/>
        <w:ind w:left="600" w:hanging="600"/>
        <w:rPr>
          <w:rFonts w:hint="eastAsia"/>
        </w:rPr>
      </w:pPr>
      <w:r>
        <w:rPr>
          <w:rFonts w:ascii="標楷體" w:eastAsia="標楷體" w:hAnsi="標楷體"/>
          <w:sz w:val="30"/>
        </w:rPr>
        <w:t>三、如設有監察人者，</w:t>
      </w:r>
      <w:proofErr w:type="gramStart"/>
      <w:r>
        <w:rPr>
          <w:rFonts w:ascii="標楷體" w:eastAsia="標楷體" w:hAnsi="標楷體"/>
          <w:sz w:val="30"/>
        </w:rPr>
        <w:t>應請載明</w:t>
      </w:r>
      <w:proofErr w:type="gramEnd"/>
      <w:r>
        <w:rPr>
          <w:rFonts w:ascii="標楷體" w:eastAsia="標楷體" w:hAnsi="標楷體"/>
          <w:sz w:val="30"/>
        </w:rPr>
        <w:t>任期及選聘方式，參考條文如下：「本會監察人任期○年。首屆監察人由捐助人選聘之，第二屆以後監察人由前一屆監察人選聘之。每屆監察人任期屆滿前○</w:t>
      </w:r>
      <w:proofErr w:type="gramStart"/>
      <w:r>
        <w:rPr>
          <w:rFonts w:ascii="標楷體" w:eastAsia="標楷體" w:hAnsi="標楷體"/>
          <w:sz w:val="30"/>
        </w:rPr>
        <w:t>個</w:t>
      </w:r>
      <w:proofErr w:type="gramEnd"/>
      <w:r>
        <w:rPr>
          <w:rFonts w:ascii="標楷體" w:eastAsia="標楷體" w:hAnsi="標楷體"/>
          <w:sz w:val="30"/>
        </w:rPr>
        <w:t>月，監察人應召集會議改選下屆監察人，新舊任監察人並按期辦理交接。</w:t>
      </w:r>
    </w:p>
    <w:sectPr w:rsidR="00E87C5B" w:rsidSect="00153096">
      <w:pgSz w:w="11906" w:h="16838"/>
      <w:pgMar w:top="680" w:right="851" w:bottom="680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419" w:rsidRDefault="00455419" w:rsidP="003E6EE5">
      <w:r>
        <w:separator/>
      </w:r>
    </w:p>
  </w:endnote>
  <w:endnote w:type="continuationSeparator" w:id="0">
    <w:p w:rsidR="00455419" w:rsidRDefault="00455419" w:rsidP="003E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altName w:val="新細明體"/>
    <w:charset w:val="88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419" w:rsidRDefault="00455419" w:rsidP="003E6EE5">
      <w:r>
        <w:separator/>
      </w:r>
    </w:p>
  </w:footnote>
  <w:footnote w:type="continuationSeparator" w:id="0">
    <w:p w:rsidR="00455419" w:rsidRDefault="00455419" w:rsidP="003E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96ABF6E"/>
    <w:name w:val="WW8Num1"/>
    <w:lvl w:ilvl="0">
      <w:start w:val="8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sz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929" w:hanging="645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</w:lvl>
  </w:abstractNum>
  <w:abstractNum w:abstractNumId="2" w15:restartNumberingAfterBreak="0">
    <w:nsid w:val="00000003"/>
    <w:multiLevelType w:val="multilevel"/>
    <w:tmpl w:val="7D245C3A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0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5FF262B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05"/>
    <w:multiLevelType w:val="multilevel"/>
    <w:tmpl w:val="9558C0E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47" w:hanging="567"/>
      </w:pPr>
      <w:rPr>
        <w:b w:val="0"/>
        <w:i w:val="0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E56EDF"/>
    <w:multiLevelType w:val="hybridMultilevel"/>
    <w:tmpl w:val="40100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2EB1C2F"/>
    <w:multiLevelType w:val="hybridMultilevel"/>
    <w:tmpl w:val="70B66B0A"/>
    <w:lvl w:ilvl="0" w:tplc="BDF27A40">
      <w:start w:val="10"/>
      <w:numFmt w:val="none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24EF6"/>
    <w:multiLevelType w:val="hybridMultilevel"/>
    <w:tmpl w:val="4690652E"/>
    <w:lvl w:ilvl="0" w:tplc="0860AEE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B44404"/>
    <w:multiLevelType w:val="hybridMultilevel"/>
    <w:tmpl w:val="0B344490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081679"/>
    <w:multiLevelType w:val="hybridMultilevel"/>
    <w:tmpl w:val="0B344490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28677B"/>
    <w:multiLevelType w:val="hybridMultilevel"/>
    <w:tmpl w:val="8166B098"/>
    <w:lvl w:ilvl="0" w:tplc="14182602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D56BE3"/>
    <w:multiLevelType w:val="hybridMultilevel"/>
    <w:tmpl w:val="6F4C3EB6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F24943"/>
    <w:multiLevelType w:val="multilevel"/>
    <w:tmpl w:val="B8564D2E"/>
    <w:lvl w:ilvl="0">
      <w:start w:val="7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4" w15:restartNumberingAfterBreak="0">
    <w:nsid w:val="310D0D19"/>
    <w:multiLevelType w:val="multilevel"/>
    <w:tmpl w:val="3B4884CE"/>
    <w:lvl w:ilvl="0">
      <w:start w:val="3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</w:lvl>
  </w:abstractNum>
  <w:abstractNum w:abstractNumId="15" w15:restartNumberingAfterBreak="0">
    <w:nsid w:val="319A226D"/>
    <w:multiLevelType w:val="multilevel"/>
    <w:tmpl w:val="B8564D2E"/>
    <w:lvl w:ilvl="0">
      <w:start w:val="7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6" w15:restartNumberingAfterBreak="0">
    <w:nsid w:val="32BF032D"/>
    <w:multiLevelType w:val="hybridMultilevel"/>
    <w:tmpl w:val="1B6452F2"/>
    <w:lvl w:ilvl="0" w:tplc="780267D6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115607"/>
    <w:multiLevelType w:val="hybridMultilevel"/>
    <w:tmpl w:val="5C467CDA"/>
    <w:lvl w:ilvl="0" w:tplc="996421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D550D9"/>
    <w:multiLevelType w:val="multilevel"/>
    <w:tmpl w:val="DBB67EA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2564" w:hanging="720"/>
      </w:pPr>
      <w:rPr>
        <w:rFonts w:ascii="標楷體" w:eastAsia="標楷體" w:hAnsi="標楷體" w:hint="eastAsia"/>
        <w:sz w:val="36"/>
        <w:szCs w:val="3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7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2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6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480"/>
      </w:pPr>
      <w:rPr>
        <w:rFonts w:hint="eastAsia"/>
      </w:rPr>
    </w:lvl>
  </w:abstractNum>
  <w:abstractNum w:abstractNumId="19" w15:restartNumberingAfterBreak="0">
    <w:nsid w:val="4A4D2E83"/>
    <w:multiLevelType w:val="hybridMultilevel"/>
    <w:tmpl w:val="301E6F3C"/>
    <w:lvl w:ilvl="0" w:tplc="66261F66">
      <w:start w:val="3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D92277"/>
    <w:multiLevelType w:val="hybridMultilevel"/>
    <w:tmpl w:val="28327FC2"/>
    <w:lvl w:ilvl="0" w:tplc="7A0CB85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797375"/>
    <w:multiLevelType w:val="hybridMultilevel"/>
    <w:tmpl w:val="36EA24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D065CE"/>
    <w:multiLevelType w:val="hybridMultilevel"/>
    <w:tmpl w:val="9A38F3DA"/>
    <w:lvl w:ilvl="0" w:tplc="B5F2B9DE">
      <w:start w:val="10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7"/>
  </w:num>
  <w:num w:numId="9">
    <w:abstractNumId w:val="21"/>
  </w:num>
  <w:num w:numId="10">
    <w:abstractNumId w:val="9"/>
  </w:num>
  <w:num w:numId="11">
    <w:abstractNumId w:val="8"/>
  </w:num>
  <w:num w:numId="12">
    <w:abstractNumId w:val="20"/>
  </w:num>
  <w:num w:numId="13">
    <w:abstractNumId w:val="6"/>
  </w:num>
  <w:num w:numId="14">
    <w:abstractNumId w:val="19"/>
  </w:num>
  <w:num w:numId="15">
    <w:abstractNumId w:val="14"/>
  </w:num>
  <w:num w:numId="16">
    <w:abstractNumId w:val="15"/>
  </w:num>
  <w:num w:numId="17">
    <w:abstractNumId w:val="13"/>
  </w:num>
  <w:num w:numId="18">
    <w:abstractNumId w:val="18"/>
  </w:num>
  <w:num w:numId="19">
    <w:abstractNumId w:val="7"/>
  </w:num>
  <w:num w:numId="20">
    <w:abstractNumId w:val="16"/>
  </w:num>
  <w:num w:numId="21">
    <w:abstractNumId w:val="12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E5"/>
    <w:rsid w:val="0003027B"/>
    <w:rsid w:val="00057021"/>
    <w:rsid w:val="000C1F1E"/>
    <w:rsid w:val="000E3436"/>
    <w:rsid w:val="00153096"/>
    <w:rsid w:val="001E6537"/>
    <w:rsid w:val="00221B2B"/>
    <w:rsid w:val="00225985"/>
    <w:rsid w:val="002A7A54"/>
    <w:rsid w:val="002C364B"/>
    <w:rsid w:val="002D7820"/>
    <w:rsid w:val="00301FAE"/>
    <w:rsid w:val="00326D33"/>
    <w:rsid w:val="00327FCB"/>
    <w:rsid w:val="003C7259"/>
    <w:rsid w:val="003E63D3"/>
    <w:rsid w:val="003E6EE5"/>
    <w:rsid w:val="00455419"/>
    <w:rsid w:val="004F656B"/>
    <w:rsid w:val="00606D42"/>
    <w:rsid w:val="006D37A2"/>
    <w:rsid w:val="006E5C61"/>
    <w:rsid w:val="008B69A8"/>
    <w:rsid w:val="008E3277"/>
    <w:rsid w:val="00905F1B"/>
    <w:rsid w:val="00947B9C"/>
    <w:rsid w:val="00963414"/>
    <w:rsid w:val="0098133B"/>
    <w:rsid w:val="00987B42"/>
    <w:rsid w:val="009B1B40"/>
    <w:rsid w:val="00A67673"/>
    <w:rsid w:val="00AC56FD"/>
    <w:rsid w:val="00AD7C4B"/>
    <w:rsid w:val="00BB1D5D"/>
    <w:rsid w:val="00BF0B72"/>
    <w:rsid w:val="00BF2E44"/>
    <w:rsid w:val="00C56A6A"/>
    <w:rsid w:val="00E016A0"/>
    <w:rsid w:val="00E531F5"/>
    <w:rsid w:val="00E87C5B"/>
    <w:rsid w:val="00F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1ECA49"/>
  <w15:chartTrackingRefBased/>
  <w15:docId w15:val="{B38D194A-6E35-45C9-8CE7-12E0B003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rPr>
      <w:kern w:val="2"/>
    </w:rPr>
  </w:style>
  <w:style w:type="character" w:customStyle="1" w:styleId="a5">
    <w:name w:val="註解方塊文字 字元"/>
    <w:basedOn w:val="a0"/>
    <w:rPr>
      <w:rFonts w:ascii="Calibri Light" w:eastAsia="新細明體" w:hAnsi="Calibri Light"/>
      <w:sz w:val="18"/>
      <w:szCs w:val="16"/>
    </w:rPr>
  </w:style>
  <w:style w:type="character" w:customStyle="1" w:styleId="WWCharLFO1LVL1">
    <w:name w:val="WW_CharLFO1LVL1"/>
    <w:rPr>
      <w:sz w:val="24"/>
    </w:rPr>
  </w:style>
  <w:style w:type="character" w:customStyle="1" w:styleId="WWCharLFO2LVL1">
    <w:name w:val="WW_CharLFO2LVL1"/>
    <w:rPr>
      <w:rFonts w:ascii="標楷體" w:eastAsia="標楷體" w:hAnsi="標楷體"/>
      <w:color w:val="auto"/>
      <w:sz w:val="32"/>
    </w:rPr>
  </w:style>
  <w:style w:type="character" w:customStyle="1" w:styleId="WWCharLFO3LVL1">
    <w:name w:val="WW_CharLFO3LVL1"/>
    <w:rPr>
      <w:rFonts w:ascii="標楷體" w:eastAsia="標楷體" w:hAnsi="標楷體"/>
    </w:rPr>
  </w:style>
  <w:style w:type="character" w:customStyle="1" w:styleId="WWCharLFO5LVL1">
    <w:name w:val="WW_CharLFO5LVL1"/>
    <w:rPr>
      <w:sz w:val="28"/>
      <w:szCs w:val="28"/>
    </w:rPr>
  </w:style>
  <w:style w:type="character" w:customStyle="1" w:styleId="WWCharLFO6LVL1">
    <w:name w:val="WW_CharLFO6LVL1"/>
    <w:rPr>
      <w:rFonts w:ascii="標楷體" w:eastAsia="標楷體" w:hAnsi="標楷體"/>
    </w:rPr>
  </w:style>
  <w:style w:type="character" w:customStyle="1" w:styleId="WWCharLFO6LVL2">
    <w:name w:val="WW_CharLFO6LVL2"/>
    <w:rPr>
      <w:b w:val="0"/>
      <w:i w:val="0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Plain Text"/>
    <w:basedOn w:val="a"/>
    <w:rPr>
      <w:rFonts w:ascii="細明體" w:eastAsia="細明體" w:hAnsi="細明體" w:cs="Courier New"/>
      <w:szCs w:val="20"/>
    </w:rPr>
  </w:style>
  <w:style w:type="paragraph" w:customStyle="1" w:styleId="ac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外框內容"/>
    <w:basedOn w:val="a"/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  <w:style w:type="paragraph" w:styleId="af2">
    <w:name w:val="List Paragraph"/>
    <w:basedOn w:val="a6"/>
    <w:qFormat/>
    <w:pPr>
      <w:ind w:left="480"/>
    </w:pPr>
    <w:rPr>
      <w:szCs w:val="21"/>
    </w:rPr>
  </w:style>
  <w:style w:type="paragraph" w:styleId="af3">
    <w:name w:val="Balloon Text"/>
    <w:basedOn w:val="a6"/>
    <w:rPr>
      <w:rFonts w:ascii="Calibri Light" w:hAnsi="Calibri Light"/>
      <w:sz w:val="18"/>
      <w:szCs w:val="16"/>
    </w:rPr>
  </w:style>
  <w:style w:type="paragraph" w:styleId="af4">
    <w:name w:val="Note Heading"/>
    <w:basedOn w:val="a"/>
    <w:next w:val="a"/>
    <w:link w:val="af5"/>
    <w:uiPriority w:val="99"/>
    <w:unhideWhenUsed/>
    <w:rsid w:val="00BB1D5D"/>
    <w:pPr>
      <w:jc w:val="center"/>
    </w:pPr>
    <w:rPr>
      <w:rFonts w:ascii="標楷體" w:eastAsia="標楷體" w:hAnsi="標楷體" w:cs="Courier New"/>
      <w:sz w:val="30"/>
      <w:szCs w:val="20"/>
    </w:rPr>
  </w:style>
  <w:style w:type="character" w:customStyle="1" w:styleId="af5">
    <w:name w:val="註釋標題 字元"/>
    <w:basedOn w:val="a0"/>
    <w:link w:val="af4"/>
    <w:uiPriority w:val="99"/>
    <w:rsid w:val="00BB1D5D"/>
    <w:rPr>
      <w:rFonts w:ascii="標楷體" w:eastAsia="標楷體" w:hAnsi="標楷體" w:cs="Courier New"/>
      <w:kern w:val="2"/>
      <w:sz w:val="30"/>
    </w:rPr>
  </w:style>
  <w:style w:type="paragraph" w:styleId="af6">
    <w:name w:val="Closing"/>
    <w:basedOn w:val="a"/>
    <w:link w:val="af7"/>
    <w:uiPriority w:val="99"/>
    <w:unhideWhenUsed/>
    <w:rsid w:val="00BB1D5D"/>
    <w:pPr>
      <w:ind w:leftChars="1800" w:left="100"/>
    </w:pPr>
    <w:rPr>
      <w:rFonts w:ascii="標楷體" w:eastAsia="標楷體" w:hAnsi="標楷體" w:cs="Courier New"/>
      <w:sz w:val="30"/>
      <w:szCs w:val="20"/>
    </w:rPr>
  </w:style>
  <w:style w:type="character" w:customStyle="1" w:styleId="af7">
    <w:name w:val="結語 字元"/>
    <w:basedOn w:val="a0"/>
    <w:link w:val="af6"/>
    <w:uiPriority w:val="99"/>
    <w:rsid w:val="00BB1D5D"/>
    <w:rPr>
      <w:rFonts w:ascii="標楷體" w:eastAsia="標楷體" w:hAnsi="標楷體" w:cs="Courier New"/>
      <w:kern w:val="2"/>
      <w:sz w:val="30"/>
    </w:rPr>
  </w:style>
  <w:style w:type="paragraph" w:styleId="Web">
    <w:name w:val="Normal (Web)"/>
    <w:basedOn w:val="a"/>
    <w:uiPriority w:val="99"/>
    <w:unhideWhenUsed/>
    <w:rsid w:val="003C725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申請設立許可文件</dc:title>
  <dc:subject/>
  <dc:creator>彰化縣政府</dc:creator>
  <cp:keywords/>
  <cp:lastModifiedBy>黃鈺婷</cp:lastModifiedBy>
  <cp:revision>3</cp:revision>
  <cp:lastPrinted>2025-04-07T06:36:00Z</cp:lastPrinted>
  <dcterms:created xsi:type="dcterms:W3CDTF">2025-04-22T01:00:00Z</dcterms:created>
  <dcterms:modified xsi:type="dcterms:W3CDTF">2025-04-22T01:03:00Z</dcterms:modified>
</cp:coreProperties>
</file>